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A3" w:rsidRPr="004878A3" w:rsidRDefault="004878A3" w:rsidP="004878A3">
      <w:pPr>
        <w:spacing w:before="100" w:beforeAutospacing="1" w:after="100" w:afterAutospacing="1" w:line="240" w:lineRule="auto"/>
        <w:outlineLvl w:val="0"/>
        <w:rPr>
          <w:rFonts w:ascii="Tahoma" w:eastAsia="Times New Roman" w:hAnsi="Tahoma" w:cs="Tahoma"/>
          <w:color w:val="4B4F58"/>
          <w:kern w:val="36"/>
          <w:sz w:val="48"/>
          <w:szCs w:val="48"/>
          <w:lang w:eastAsia="ru-RU"/>
        </w:rPr>
      </w:pPr>
      <w:r w:rsidRPr="004878A3">
        <w:rPr>
          <w:rFonts w:ascii="Tahoma" w:eastAsia="Times New Roman" w:hAnsi="Tahoma" w:cs="Tahoma"/>
          <w:color w:val="4B4F58"/>
          <w:kern w:val="36"/>
          <w:sz w:val="48"/>
          <w:szCs w:val="48"/>
          <w:lang w:eastAsia="ru-RU"/>
        </w:rPr>
        <w:t>Хранение лекарственных средств ОФС.1.1.0010.15</w:t>
      </w:r>
    </w:p>
    <w:p w:rsidR="004878A3" w:rsidRPr="004878A3" w:rsidRDefault="004878A3" w:rsidP="004878A3">
      <w:pPr>
        <w:spacing w:after="0" w:line="240" w:lineRule="auto"/>
        <w:textAlignment w:val="center"/>
        <w:rPr>
          <w:rFonts w:ascii="Tahoma" w:eastAsia="Times New Roman" w:hAnsi="Tahoma" w:cs="Tahoma"/>
          <w:color w:val="8B8B8B"/>
          <w:sz w:val="17"/>
          <w:szCs w:val="17"/>
          <w:lang w:eastAsia="ru-RU"/>
        </w:rPr>
      </w:pPr>
      <w:hyperlink r:id="rId5" w:history="1">
        <w:r w:rsidRPr="004878A3">
          <w:rPr>
            <w:rFonts w:ascii="Tahoma" w:eastAsia="Times New Roman" w:hAnsi="Tahoma" w:cs="Tahoma"/>
            <w:color w:val="4B4F58"/>
            <w:sz w:val="17"/>
            <w:szCs w:val="17"/>
            <w:lang w:eastAsia="ru-RU"/>
          </w:rPr>
          <w:t>Главная</w:t>
        </w:r>
      </w:hyperlink>
    </w:p>
    <w:p w:rsidR="004878A3" w:rsidRPr="004878A3" w:rsidRDefault="004878A3" w:rsidP="004878A3">
      <w:pPr>
        <w:spacing w:after="0" w:line="240" w:lineRule="auto"/>
        <w:textAlignment w:val="center"/>
        <w:rPr>
          <w:rFonts w:ascii="Tahoma" w:eastAsia="Times New Roman" w:hAnsi="Tahoma" w:cs="Tahoma"/>
          <w:color w:val="8B8B8B"/>
          <w:sz w:val="17"/>
          <w:szCs w:val="17"/>
          <w:lang w:eastAsia="ru-RU"/>
        </w:rPr>
      </w:pPr>
      <w:hyperlink r:id="rId6" w:history="1">
        <w:r w:rsidRPr="004878A3">
          <w:rPr>
            <w:rFonts w:ascii="Tahoma" w:eastAsia="Times New Roman" w:hAnsi="Tahoma" w:cs="Tahoma"/>
            <w:color w:val="4B4F58"/>
            <w:sz w:val="17"/>
            <w:szCs w:val="17"/>
            <w:lang w:eastAsia="ru-RU"/>
          </w:rPr>
          <w:t>Библиотека</w:t>
        </w:r>
      </w:hyperlink>
    </w:p>
    <w:p w:rsidR="004878A3" w:rsidRPr="004878A3" w:rsidRDefault="004878A3" w:rsidP="004878A3">
      <w:pPr>
        <w:spacing w:after="0" w:line="240" w:lineRule="auto"/>
        <w:textAlignment w:val="center"/>
        <w:rPr>
          <w:rFonts w:ascii="Tahoma" w:eastAsia="Times New Roman" w:hAnsi="Tahoma" w:cs="Tahoma"/>
          <w:color w:val="8B8B8B"/>
          <w:sz w:val="17"/>
          <w:szCs w:val="17"/>
          <w:lang w:eastAsia="ru-RU"/>
        </w:rPr>
      </w:pPr>
      <w:hyperlink r:id="rId7" w:history="1">
        <w:r w:rsidRPr="004878A3">
          <w:rPr>
            <w:rFonts w:ascii="Tahoma" w:eastAsia="Times New Roman" w:hAnsi="Tahoma" w:cs="Tahoma"/>
            <w:color w:val="4B4F58"/>
            <w:sz w:val="17"/>
            <w:szCs w:val="17"/>
            <w:lang w:eastAsia="ru-RU"/>
          </w:rPr>
          <w:t>Нормативные документы</w:t>
        </w:r>
      </w:hyperlink>
    </w:p>
    <w:p w:rsidR="004878A3" w:rsidRPr="004878A3" w:rsidRDefault="004878A3" w:rsidP="004878A3">
      <w:pPr>
        <w:spacing w:line="240" w:lineRule="auto"/>
        <w:textAlignment w:val="center"/>
        <w:rPr>
          <w:rFonts w:ascii="Tahoma" w:eastAsia="Times New Roman" w:hAnsi="Tahoma" w:cs="Tahoma"/>
          <w:color w:val="8B8B8B"/>
          <w:sz w:val="17"/>
          <w:szCs w:val="17"/>
          <w:lang w:eastAsia="ru-RU"/>
        </w:rPr>
      </w:pPr>
      <w:r w:rsidRPr="004878A3">
        <w:rPr>
          <w:rFonts w:ascii="Tahoma" w:eastAsia="Times New Roman" w:hAnsi="Tahoma" w:cs="Tahoma"/>
          <w:color w:val="94969B"/>
          <w:sz w:val="17"/>
          <w:szCs w:val="17"/>
          <w:lang w:eastAsia="ru-RU"/>
        </w:rPr>
        <w:t>Хранение лекарственных средств ОФС.1.1.0010.15</w:t>
      </w:r>
    </w:p>
    <w:p w:rsidR="004878A3" w:rsidRPr="004878A3" w:rsidRDefault="004878A3" w:rsidP="004878A3">
      <w:pPr>
        <w:spacing w:before="100" w:beforeAutospacing="1" w:after="100" w:afterAutospacing="1" w:line="240" w:lineRule="auto"/>
        <w:jc w:val="center"/>
        <w:outlineLvl w:val="0"/>
        <w:rPr>
          <w:rFonts w:ascii="Tahoma" w:eastAsia="Times New Roman" w:hAnsi="Tahoma" w:cs="Tahoma"/>
          <w:color w:val="4B4F58"/>
          <w:kern w:val="36"/>
          <w:sz w:val="48"/>
          <w:szCs w:val="48"/>
          <w:lang w:eastAsia="ru-RU"/>
        </w:rPr>
      </w:pPr>
      <w:r w:rsidRPr="004878A3">
        <w:rPr>
          <w:rFonts w:ascii="Tahoma" w:eastAsia="Times New Roman" w:hAnsi="Tahoma" w:cs="Tahoma"/>
          <w:color w:val="4B4F58"/>
          <w:kern w:val="36"/>
          <w:sz w:val="48"/>
          <w:szCs w:val="48"/>
          <w:lang w:eastAsia="ru-RU"/>
        </w:rPr>
        <w:t>МИНИСТЕРСТВО ЗДРАВООХРАНЕНИЯ РОССИЙСКОЙ ФЕДЕРАЦИИ</w:t>
      </w:r>
    </w:p>
    <w:p w:rsidR="004878A3" w:rsidRPr="004878A3" w:rsidRDefault="004878A3" w:rsidP="004878A3">
      <w:pPr>
        <w:spacing w:after="0"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pict>
          <v:rect id="_x0000_i1025" style="width:0;height:0" o:hralign="center" o:hrstd="t" o:hr="t" fillcolor="gray" stroked="f"/>
        </w:pict>
      </w:r>
    </w:p>
    <w:p w:rsidR="004878A3" w:rsidRPr="004878A3" w:rsidRDefault="004878A3" w:rsidP="004878A3">
      <w:pPr>
        <w:spacing w:before="100" w:beforeAutospacing="1" w:after="100" w:afterAutospacing="1" w:line="240" w:lineRule="auto"/>
        <w:jc w:val="center"/>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w:t>
      </w:r>
    </w:p>
    <w:p w:rsidR="004878A3" w:rsidRPr="004878A3" w:rsidRDefault="004878A3" w:rsidP="004878A3">
      <w:pPr>
        <w:spacing w:before="100" w:beforeAutospacing="1" w:after="100" w:afterAutospacing="1" w:line="240" w:lineRule="auto"/>
        <w:jc w:val="center"/>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w:t>
      </w:r>
    </w:p>
    <w:p w:rsidR="004878A3" w:rsidRPr="004878A3" w:rsidRDefault="004878A3" w:rsidP="004878A3">
      <w:pPr>
        <w:spacing w:before="100" w:beforeAutospacing="1" w:after="100" w:afterAutospacing="1" w:line="240" w:lineRule="auto"/>
        <w:jc w:val="center"/>
        <w:rPr>
          <w:rFonts w:ascii="Tahoma" w:eastAsia="Times New Roman" w:hAnsi="Tahoma" w:cs="Tahoma"/>
          <w:color w:val="4B4F58"/>
          <w:sz w:val="20"/>
          <w:szCs w:val="20"/>
          <w:lang w:eastAsia="ru-RU"/>
        </w:rPr>
      </w:pPr>
      <w:r w:rsidRPr="004878A3">
        <w:rPr>
          <w:rFonts w:ascii="Tahoma" w:eastAsia="Times New Roman" w:hAnsi="Tahoma" w:cs="Tahoma"/>
          <w:b/>
          <w:bCs/>
          <w:color w:val="4B4F58"/>
          <w:sz w:val="20"/>
          <w:szCs w:val="20"/>
          <w:lang w:eastAsia="ru-RU"/>
        </w:rPr>
        <w:t>ОБЩАЯ ФАРМАКОПЕЙНАЯ СТАТЬЯ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b/>
          <w:bCs/>
          <w:color w:val="4B4F58"/>
          <w:sz w:val="20"/>
          <w:szCs w:val="20"/>
          <w:lang w:eastAsia="ru-RU"/>
        </w:rPr>
        <w:t>Хранение лекарственных средств                           ОФС.1.1.0010.15</w:t>
      </w:r>
      <w:proofErr w:type="gramStart"/>
      <w:r w:rsidRPr="004878A3">
        <w:rPr>
          <w:rFonts w:ascii="Tahoma" w:eastAsia="Times New Roman" w:hAnsi="Tahoma" w:cs="Tahoma"/>
          <w:b/>
          <w:bCs/>
          <w:color w:val="4B4F58"/>
          <w:sz w:val="20"/>
          <w:szCs w:val="20"/>
          <w:lang w:eastAsia="ru-RU"/>
        </w:rPr>
        <w:br/>
        <w:t>В</w:t>
      </w:r>
      <w:proofErr w:type="gramEnd"/>
      <w:r w:rsidRPr="004878A3">
        <w:rPr>
          <w:rFonts w:ascii="Tahoma" w:eastAsia="Times New Roman" w:hAnsi="Tahoma" w:cs="Tahoma"/>
          <w:b/>
          <w:bCs/>
          <w:color w:val="4B4F58"/>
          <w:sz w:val="20"/>
          <w:szCs w:val="20"/>
          <w:lang w:eastAsia="ru-RU"/>
        </w:rPr>
        <w:t>водится впервые</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Настоящая общая фармакопейная статья устанавливает общие требования к хранению фармацевтических субстанций, вспомогательных веществ и лекарственных препаратов и распространяется на все организации, в которых имеет место хранение лекарственных средств, с учетом вида деятельности организации.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Хранение лекарственного растительного сырья и лекарственных растительных препаратов осуществляется в соответствии с ОФС «Хранение лекарственного растительного сырья и лекарственных растительных препаратов».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Хранение – процесс хранения лекарственных средств до момента их использования в пределах установленного срока годности, являющийся составной частью обращения лекарственных средств.</w:t>
      </w:r>
    </w:p>
    <w:p w:rsidR="004878A3" w:rsidRPr="004878A3" w:rsidRDefault="004878A3" w:rsidP="004878A3">
      <w:pPr>
        <w:spacing w:before="100" w:beforeAutospacing="1" w:after="100" w:afterAutospacing="1" w:line="240" w:lineRule="auto"/>
        <w:jc w:val="center"/>
        <w:rPr>
          <w:rFonts w:ascii="Tahoma" w:eastAsia="Times New Roman" w:hAnsi="Tahoma" w:cs="Tahoma"/>
          <w:color w:val="4B4F58"/>
          <w:sz w:val="20"/>
          <w:szCs w:val="20"/>
          <w:lang w:eastAsia="ru-RU"/>
        </w:rPr>
      </w:pPr>
      <w:r w:rsidRPr="004878A3">
        <w:rPr>
          <w:rFonts w:ascii="Tahoma" w:eastAsia="Times New Roman" w:hAnsi="Tahoma" w:cs="Tahoma"/>
          <w:b/>
          <w:bCs/>
          <w:color w:val="4B4F58"/>
          <w:sz w:val="20"/>
          <w:szCs w:val="20"/>
          <w:lang w:eastAsia="ru-RU"/>
        </w:rPr>
        <w:t>Общие требования к помещениям для хранения</w:t>
      </w:r>
    </w:p>
    <w:p w:rsidR="004878A3" w:rsidRPr="004878A3" w:rsidRDefault="004878A3" w:rsidP="004878A3">
      <w:pPr>
        <w:spacing w:before="100" w:beforeAutospacing="1" w:after="100" w:afterAutospacing="1" w:line="240" w:lineRule="auto"/>
        <w:jc w:val="center"/>
        <w:rPr>
          <w:rFonts w:ascii="Tahoma" w:eastAsia="Times New Roman" w:hAnsi="Tahoma" w:cs="Tahoma"/>
          <w:color w:val="4B4F58"/>
          <w:sz w:val="20"/>
          <w:szCs w:val="20"/>
          <w:lang w:eastAsia="ru-RU"/>
        </w:rPr>
      </w:pPr>
      <w:r w:rsidRPr="004878A3">
        <w:rPr>
          <w:rFonts w:ascii="Tahoma" w:eastAsia="Times New Roman" w:hAnsi="Tahoma" w:cs="Tahoma"/>
          <w:b/>
          <w:bCs/>
          <w:color w:val="4B4F58"/>
          <w:sz w:val="20"/>
          <w:szCs w:val="20"/>
          <w:lang w:eastAsia="ru-RU"/>
        </w:rPr>
        <w:t>лекарственных средств и организации их хранения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Хранение лекарственных средств должно осуществляться в предназначенных для этих целей помещениях. Устройство, состав, размеры площадей помещений для хранения, их эксплуатация и оборудование должны обеспечивать надлежащие условия хранения различных групп лекарственных средств.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Комплекс помещений для хранения должен включать:</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помещение (зону) приемки, предназначенную для распаковки и приема упаковок с лекарственными средствами и их предварительного осмотра;</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помещение (зону) для отбора проб лекарственных сре</w:t>
      </w:r>
      <w:proofErr w:type="gramStart"/>
      <w:r w:rsidRPr="004878A3">
        <w:rPr>
          <w:rFonts w:ascii="Tahoma" w:eastAsia="Times New Roman" w:hAnsi="Tahoma" w:cs="Tahoma"/>
          <w:color w:val="4B4F58"/>
          <w:sz w:val="20"/>
          <w:szCs w:val="20"/>
          <w:lang w:eastAsia="ru-RU"/>
        </w:rPr>
        <w:t>дств в с</w:t>
      </w:r>
      <w:proofErr w:type="gramEnd"/>
      <w:r w:rsidRPr="004878A3">
        <w:rPr>
          <w:rFonts w:ascii="Tahoma" w:eastAsia="Times New Roman" w:hAnsi="Tahoma" w:cs="Tahoma"/>
          <w:color w:val="4B4F58"/>
          <w:sz w:val="20"/>
          <w:szCs w:val="20"/>
          <w:lang w:eastAsia="ru-RU"/>
        </w:rPr>
        <w:t>оответствии с требованиями ОФС «Отбор проб»;</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lastRenderedPageBreak/>
        <w:t>- помещение (зону) для карантинного хранения лекарственных средств;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помещения для лекарственных средств, требующих особых условий хранения;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помещение (зону) для хранения забракованных, возвращенных, отозванных и/или лекарственных средств с истекшим сроком годности. Указанные лекарственные средства и места их хранения должны быть четко обозначены.</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Зона хранения выделяется в общем помещении для хранения при отсутствии отдельного изолированного помещения.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Отделка помещений для хранения лекарственных средств должна отвечать действующим санитарно-гигиеническим требованиям, внутренние поверхности стен и потолков должны быть гладкими, допускающими возможность проведения влажной уборки.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proofErr w:type="gramStart"/>
      <w:r w:rsidRPr="004878A3">
        <w:rPr>
          <w:rFonts w:ascii="Tahoma" w:eastAsia="Times New Roman" w:hAnsi="Tahoma" w:cs="Tahoma"/>
          <w:color w:val="4B4F58"/>
          <w:sz w:val="20"/>
          <w:szCs w:val="20"/>
          <w:lang w:eastAsia="ru-RU"/>
        </w:rPr>
        <w:t>В каждом помещении для хранения необходимо поддерживать  климатический режим, соблюдая температуру и влажность воздуха, установленные фармакопейной статьей или нормативной документацией на лекарственные средства.</w:t>
      </w:r>
      <w:proofErr w:type="gramEnd"/>
      <w:r w:rsidRPr="004878A3">
        <w:rPr>
          <w:rFonts w:ascii="Tahoma" w:eastAsia="Times New Roman" w:hAnsi="Tahoma" w:cs="Tahoma"/>
          <w:color w:val="4B4F58"/>
          <w:sz w:val="20"/>
          <w:szCs w:val="20"/>
          <w:lang w:eastAsia="ru-RU"/>
        </w:rPr>
        <w:t xml:space="preserve"> Необходимый воздухообмен в помещениях для хранения создается с помощью кондиционеров, приточно-вытяжной вентиляции или другого оборудования. Естественное и искусственное освещение в помещениях для хранения должно обеспечивать точное и безопасное осуществление всех выполняемых в помещении операций. При необходимости должна быть обеспечена защита лекарственных средств от солнечного излучения.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Помещения для хранения лекарственных средств должны быть оснащены необходимым количеством поверенных в установленном порядке средств измерений (термометрами, гигрометрами, психрометрами и др.) для контроля и регистрации температуры и влажности, осуществляемых не реже одного раза в сутки. Средства измерений размещаются на расстоянии не менее 3 м от дверей, окон и отопительных приборов в доступном для считывания показаний месте, на высоте 1,5 - 1,7 м от пола. При этом их рекомендуется размещать в местах, где имеется наибольшая вероятность колебаний температуры и влажности или наиболее часто наблюдаются отклонения от требуемых параметров.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Регистрационные записи должны демонстрировать установленные для помещений режимы температуры и влажности, а при их несоответствии – корректирующие действия.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Помещения для хранения должны быть оборудованы достаточным количеством шкафов, сейфов, стеллажей, подтоварников, поддонов. Оборудование должно находиться в хорошем состоянии и быть чистым.</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Стеллажи, шкафы и другое оборудование должно быть установлено таким образом, чтобы обеспечить доступ к лекарственным средствам, свободный проход персонала и, в случае необходимости, доступность погрузочно-разгрузочных работ, а также доступность оборудования, стен, пола помещения для уборки.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В помещениях для хранения лекарственных средств должен поддерживаться надлежащий санитарный режим. Периодичность и методы уборки помещений должны соответствовать требованиям нормативных документов. Используемые санитарно-дезинфицирующие средства должны быть безопасными, риск загрязнения этими средствами лекарственных средств, находящихся на хранении, должен быть исключен.</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Должны быть разработаны специальные инструкции по уборке разлитых или рассыпанных лекарственных сре</w:t>
      </w:r>
      <w:proofErr w:type="gramStart"/>
      <w:r w:rsidRPr="004878A3">
        <w:rPr>
          <w:rFonts w:ascii="Tahoma" w:eastAsia="Times New Roman" w:hAnsi="Tahoma" w:cs="Tahoma"/>
          <w:color w:val="4B4F58"/>
          <w:sz w:val="20"/>
          <w:szCs w:val="20"/>
          <w:lang w:eastAsia="ru-RU"/>
        </w:rPr>
        <w:t>дств с ц</w:t>
      </w:r>
      <w:proofErr w:type="gramEnd"/>
      <w:r w:rsidRPr="004878A3">
        <w:rPr>
          <w:rFonts w:ascii="Tahoma" w:eastAsia="Times New Roman" w:hAnsi="Tahoma" w:cs="Tahoma"/>
          <w:color w:val="4B4F58"/>
          <w:sz w:val="20"/>
          <w:szCs w:val="20"/>
          <w:lang w:eastAsia="ru-RU"/>
        </w:rPr>
        <w:t>елью полного устранения и предотвращения загрязнения других лекарственных средств.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При выполнении работ в помещениях для хранения лекарственных средств сотрудники должны носить специальную одежду и обувь, соблюдать правила личной гигиены.</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lastRenderedPageBreak/>
        <w:t>В помещениях для хранения лекарственные средства размещают в соответствии с условиями хранения, указанными в фармакопейной статье или нормативной документации на лекарственные средства, с учетом их физико-химических и опасных свойств, фармакологического и токсикологического действия, вида лекарственной формы лекарственного препарата и способа его применения, агрегатного состояния лекарственного средства. При использовании компьютерных технологий допускается размещение лекарственных средств по алфавитному принципу, по кодам.</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Стеллажи, шкафы, полки, предназначенные для хранения лекарственных средств, должны быть идентифицированы. Также необходимо идентифицировать хранящиеся лекарственные средства с помощью стеллажной карты, при использовании компьютерных технологий – с помощью кодов и электронных устройств.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При ручном способе разгрузочно-погрузочных работ высота укладки лекарственных средств не должна превышать 1,5 м. При использовании механизированных устрой</w:t>
      </w:r>
      <w:proofErr w:type="gramStart"/>
      <w:r w:rsidRPr="004878A3">
        <w:rPr>
          <w:rFonts w:ascii="Tahoma" w:eastAsia="Times New Roman" w:hAnsi="Tahoma" w:cs="Tahoma"/>
          <w:color w:val="4B4F58"/>
          <w:sz w:val="20"/>
          <w:szCs w:val="20"/>
          <w:lang w:eastAsia="ru-RU"/>
        </w:rPr>
        <w:t>ств пр</w:t>
      </w:r>
      <w:proofErr w:type="gramEnd"/>
      <w:r w:rsidRPr="004878A3">
        <w:rPr>
          <w:rFonts w:ascii="Tahoma" w:eastAsia="Times New Roman" w:hAnsi="Tahoma" w:cs="Tahoma"/>
          <w:color w:val="4B4F58"/>
          <w:sz w:val="20"/>
          <w:szCs w:val="20"/>
          <w:lang w:eastAsia="ru-RU"/>
        </w:rPr>
        <w:t>и проведении разгрузочно-погрузочных работ лекарственные средства должны храниться в несколько ярусов. При этом общая высота размещения лекарственных средств на стеллажах не должна превышать возможности  погрузочно-разгрузочных механизмов.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Лекарственные средства в помещениях для хранения должны размещаться в шкафах, на стеллажах, подтоварниках, поддонах и др. Не допускается размещение лекарственных средств на полу без поддона. 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При создании условий хранения отдельно взятого лекарственного средства необходимо руководствоваться требованиями, указанными в фармакопейной статье или нормативной документации на это лекарственное средство, установленными производителем (разработчиком) лекарственного средства на основании результатов исследования стабильности в соответствии с ОФС «Сроки годности лекарственных средств».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Хранение лекарственных средств осуществляется в упаковке (потребительской, групповой), соответствующей требованиям нормативной документации на это лекарственное средство.</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Хранение лекарственных средств осуществляется при относительной влажности не более 60 ± 5% в зависимости от соответствующей климатической зоны (I, II, III, IV</w:t>
      </w:r>
      <w:proofErr w:type="gramStart"/>
      <w:r w:rsidRPr="004878A3">
        <w:rPr>
          <w:rFonts w:ascii="Tahoma" w:eastAsia="Times New Roman" w:hAnsi="Tahoma" w:cs="Tahoma"/>
          <w:color w:val="4B4F58"/>
          <w:sz w:val="20"/>
          <w:szCs w:val="20"/>
          <w:lang w:eastAsia="ru-RU"/>
        </w:rPr>
        <w:t>А</w:t>
      </w:r>
      <w:proofErr w:type="gramEnd"/>
      <w:r w:rsidRPr="004878A3">
        <w:rPr>
          <w:rFonts w:ascii="Tahoma" w:eastAsia="Times New Roman" w:hAnsi="Tahoma" w:cs="Tahoma"/>
          <w:color w:val="4B4F58"/>
          <w:sz w:val="20"/>
          <w:szCs w:val="20"/>
          <w:lang w:eastAsia="ru-RU"/>
        </w:rPr>
        <w:t>, IVБ), если специальные условия хранения не указаны в нормативной документации.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Лекарственные средства следует хранить так, чтобы не допустить их загрязнения, смешивания и перекрестной контаминации. Необходимо избегать посторонних запахов в помещениях для хранения.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Должна быть внедрена установленная в организации система учета лекарственных средств с ограниченным сроком годности. Если на хранении находятся нескольких серий одного наименования лекарственного средства, то для использования в первую очередь должно быть взято лекарственное средство, срок годности которого истекает раньше, чем у других.</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Забракованные лекарственные средства должны быть идентифицированы и храниться в соответствующем помещении (зоне) в условиях, не допускающих их несанкционированного использования.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b/>
          <w:bCs/>
          <w:color w:val="4B4F58"/>
          <w:sz w:val="20"/>
          <w:szCs w:val="20"/>
          <w:lang w:eastAsia="ru-RU"/>
        </w:rPr>
        <w:t>Особенности хранения отдельных групп лекарственных средств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xml:space="preserve">Лекарственные средства, обладающие опасными свойствами (огнеопасные, взрывоопасные, радиофармацевтические, едкие, коррозионные, газы сжатые и сжиженные и др.), следует хранить в специально устроенных помещениях, оборудованных дополнительными средствами безопасности и охраны. При хранении необходимо обеспечить сохранность и заявленное качество лекарственных средств, предотвратить возможность проявления лекарственными средствами своих </w:t>
      </w:r>
      <w:r w:rsidRPr="004878A3">
        <w:rPr>
          <w:rFonts w:ascii="Tahoma" w:eastAsia="Times New Roman" w:hAnsi="Tahoma" w:cs="Tahoma"/>
          <w:color w:val="4B4F58"/>
          <w:sz w:val="20"/>
          <w:szCs w:val="20"/>
          <w:lang w:eastAsia="ru-RU"/>
        </w:rPr>
        <w:lastRenderedPageBreak/>
        <w:t>опасных свойств и создать безопасные условия труда сотрудников, осуществляющих работу с такими лекарственными средствами.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При устройстве помещений и организации хранения опасных лекарственных средств необходимо руководствоваться требованиями федеральных законов и нормативных правовых актов Российской Федерации.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Хранение наркотических и психотропных лекарственных средств должно осуществляться в соответствии с федеральными законами и нормативными правовыми актами Российской Федерации.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При хранении лекарственных средств, требующих защиты от влияния факторов внешней среды (света, температуры, атмосферного состава воздуха и др.), необходимо обеспечить указанный в фармакопейной статье или нормативной документации режим хранения. Отклонения от регламентируемых условий допускаются однократно только на краткосрочный период (не более 24 ч), если при этом специальные условия, например, постоянное хранение в холодном месте, не оговорены отдельно.</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xml:space="preserve">Лекарственные средства, которые под действием световой энергии могут изменять свои свойства (окисляться, восстанавливаться, разлагаться, изменять свой цвет и т.п.), являются фото- или светочувствительными; лекарственные средства, устойчивые к действию света, - </w:t>
      </w:r>
      <w:proofErr w:type="spellStart"/>
      <w:r w:rsidRPr="004878A3">
        <w:rPr>
          <w:rFonts w:ascii="Tahoma" w:eastAsia="Times New Roman" w:hAnsi="Tahoma" w:cs="Tahoma"/>
          <w:color w:val="4B4F58"/>
          <w:sz w:val="20"/>
          <w:szCs w:val="20"/>
          <w:lang w:eastAsia="ru-RU"/>
        </w:rPr>
        <w:t>фотостабильными</w:t>
      </w:r>
      <w:proofErr w:type="spellEnd"/>
      <w:r w:rsidRPr="004878A3">
        <w:rPr>
          <w:rFonts w:ascii="Tahoma" w:eastAsia="Times New Roman" w:hAnsi="Tahoma" w:cs="Tahoma"/>
          <w:color w:val="4B4F58"/>
          <w:sz w:val="20"/>
          <w:szCs w:val="20"/>
          <w:lang w:eastAsia="ru-RU"/>
        </w:rPr>
        <w:t>. Влияние световой энергии может проявляться в воздействии прямых солнечных лучей, рассеянного света видимой области светового спектра и излучения ультрафиолетовой области.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Маркировка светочувствительных лекарственных средств, как правило,  содержит указание: «Хранить в защищенном от света месте». Лекарственные средства, требующие защиты от действия света, должны храниться в помещениях или специально оборудованных зонах, обеспечивающих защиту от естественного и искусственного освещения. Фармацевтические субстанции, требующие защиты от действия света, следует хранить либо в упаковке из светозащитных материалов, либо в темном помещении или шкафах. Если в качестве упаковки особо чувствительных к свету фармацевтических субстанций используется тара стеклянная для лекарственных средств, необходимо тару оклеить черной светонепроницаемой бумагой.</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Светочувствительные лекарственные препараты должны быть упакованы в светозащитную вторичную (потребительскую) упаковку и/или должны храниться в защищенном от света месте.</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 xml:space="preserve">Лекарственные средства, которые при контакте с водой, влагой могут выделять газы и т.п., являются </w:t>
      </w:r>
      <w:proofErr w:type="spellStart"/>
      <w:r w:rsidRPr="004878A3">
        <w:rPr>
          <w:rFonts w:ascii="Tahoma" w:eastAsia="Times New Roman" w:hAnsi="Tahoma" w:cs="Tahoma"/>
          <w:color w:val="4B4F58"/>
          <w:sz w:val="20"/>
          <w:szCs w:val="20"/>
          <w:lang w:eastAsia="ru-RU"/>
        </w:rPr>
        <w:t>влагочувствительными</w:t>
      </w:r>
      <w:proofErr w:type="spellEnd"/>
      <w:r w:rsidRPr="004878A3">
        <w:rPr>
          <w:rFonts w:ascii="Tahoma" w:eastAsia="Times New Roman" w:hAnsi="Tahoma" w:cs="Tahoma"/>
          <w:color w:val="4B4F58"/>
          <w:sz w:val="20"/>
          <w:szCs w:val="20"/>
          <w:lang w:eastAsia="ru-RU"/>
        </w:rPr>
        <w:t xml:space="preserve">. Маркировка </w:t>
      </w:r>
      <w:proofErr w:type="spellStart"/>
      <w:r w:rsidRPr="004878A3">
        <w:rPr>
          <w:rFonts w:ascii="Tahoma" w:eastAsia="Times New Roman" w:hAnsi="Tahoma" w:cs="Tahoma"/>
          <w:color w:val="4B4F58"/>
          <w:sz w:val="20"/>
          <w:szCs w:val="20"/>
          <w:lang w:eastAsia="ru-RU"/>
        </w:rPr>
        <w:t>влагочувствительных</w:t>
      </w:r>
      <w:proofErr w:type="spellEnd"/>
      <w:r w:rsidRPr="004878A3">
        <w:rPr>
          <w:rFonts w:ascii="Tahoma" w:eastAsia="Times New Roman" w:hAnsi="Tahoma" w:cs="Tahoma"/>
          <w:color w:val="4B4F58"/>
          <w:sz w:val="20"/>
          <w:szCs w:val="20"/>
          <w:lang w:eastAsia="ru-RU"/>
        </w:rPr>
        <w:t xml:space="preserve"> лекарственных средств, как правило, содержит указание: </w:t>
      </w:r>
      <w:r w:rsidRPr="004878A3">
        <w:rPr>
          <w:rFonts w:ascii="Tahoma" w:eastAsia="Times New Roman" w:hAnsi="Tahoma" w:cs="Tahoma"/>
          <w:color w:val="4B4F58"/>
          <w:sz w:val="20"/>
          <w:szCs w:val="20"/>
          <w:shd w:val="clear" w:color="auto" w:fill="FFFF00"/>
          <w:lang w:eastAsia="ru-RU"/>
        </w:rPr>
        <w:t>«Хранить в сухом месте»</w:t>
      </w:r>
      <w:r w:rsidRPr="004878A3">
        <w:rPr>
          <w:rFonts w:ascii="Tahoma" w:eastAsia="Times New Roman" w:hAnsi="Tahoma" w:cs="Tahoma"/>
          <w:color w:val="4B4F58"/>
          <w:sz w:val="20"/>
          <w:szCs w:val="20"/>
          <w:lang w:eastAsia="ru-RU"/>
        </w:rPr>
        <w:t>. При хранении таких лекарственных средств необходимо создать условия, </w:t>
      </w:r>
      <w:r w:rsidRPr="004878A3">
        <w:rPr>
          <w:rFonts w:ascii="Tahoma" w:eastAsia="Times New Roman" w:hAnsi="Tahoma" w:cs="Tahoma"/>
          <w:color w:val="4B4F58"/>
          <w:sz w:val="20"/>
          <w:szCs w:val="20"/>
          <w:shd w:val="clear" w:color="auto" w:fill="FFFF00"/>
          <w:lang w:eastAsia="ru-RU"/>
        </w:rPr>
        <w:t>чтобы относительная влажность воздуха не превышала 50 % при комнатной температуре</w:t>
      </w:r>
      <w:r w:rsidRPr="004878A3">
        <w:rPr>
          <w:rFonts w:ascii="Tahoma" w:eastAsia="Times New Roman" w:hAnsi="Tahoma" w:cs="Tahoma"/>
          <w:color w:val="4B4F58"/>
          <w:sz w:val="20"/>
          <w:szCs w:val="20"/>
          <w:lang w:eastAsia="ru-RU"/>
        </w:rPr>
        <w:t xml:space="preserve"> (при нормальных условиях хранения) или эквивалентном давлении паров при другой температуре. Выполнение требования также предусматривает хранение </w:t>
      </w:r>
      <w:proofErr w:type="spellStart"/>
      <w:r w:rsidRPr="004878A3">
        <w:rPr>
          <w:rFonts w:ascii="Tahoma" w:eastAsia="Times New Roman" w:hAnsi="Tahoma" w:cs="Tahoma"/>
          <w:color w:val="4B4F58"/>
          <w:sz w:val="20"/>
          <w:szCs w:val="20"/>
          <w:lang w:eastAsia="ru-RU"/>
        </w:rPr>
        <w:t>влагочувствительного</w:t>
      </w:r>
      <w:proofErr w:type="spellEnd"/>
      <w:r w:rsidRPr="004878A3">
        <w:rPr>
          <w:rFonts w:ascii="Tahoma" w:eastAsia="Times New Roman" w:hAnsi="Tahoma" w:cs="Tahoma"/>
          <w:color w:val="4B4F58"/>
          <w:sz w:val="20"/>
          <w:szCs w:val="20"/>
          <w:lang w:eastAsia="ru-RU"/>
        </w:rPr>
        <w:t xml:space="preserve"> лекарственного средства в воздухонепроницаемой (влагонепроницаемой) потребительской упаковке, обеспечивающей указанную защиту и соблюдение условий хранения при обращении лекарственного средства.</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Для поддержания низкого содержания влаги при хранении лекарственных средств в установленных случаях используют осушающие вещества при условии исключения их прямого контакта с лекарственным средством.</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proofErr w:type="gramStart"/>
      <w:r w:rsidRPr="004878A3">
        <w:rPr>
          <w:rFonts w:ascii="Tahoma" w:eastAsia="Times New Roman" w:hAnsi="Tahoma" w:cs="Tahoma"/>
          <w:color w:val="4B4F58"/>
          <w:sz w:val="20"/>
          <w:szCs w:val="20"/>
          <w:lang w:eastAsia="ru-RU"/>
        </w:rPr>
        <w:t>Лекарственные средства с гигроскопическими свойствами необходимо хранить при относительной влажности не более 50 % в упаковке, представляющей собой тару стеклянную для лекарственных средств, герметично укупоренную, или в упаковке с дополнительной защитой, например, в мешке из полиэтиленовой пленки, в соответствии с требованиями фармакопейной статьи или нормативной документации.</w:t>
      </w:r>
      <w:bookmarkStart w:id="0" w:name="_GoBack"/>
      <w:bookmarkEnd w:id="0"/>
      <w:proofErr w:type="gramEnd"/>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lastRenderedPageBreak/>
        <w:t>Некоторые группы лекарственных средств изменяют свои свойства под влиянием газов атмосферного воздуха, таких как кислород или углерода диоксид. Для обеспечения защиты лекарственных средств от воздействия газов хранение лекарственных средств рекомендуется осуществлять в герметичной упаковке из материалов, не проницаемых для газов. Упаковка, по возможности, должна быть заполнена доверху и укупорена герметично.</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Лекарственные средства, представляющие собой собственно летучие лекарственные средства или лекарственные средства, содержащие летучий растворитель; растворы и смеси летучих веществ; лекарственные средства, разлагающиеся с образованием летучих продуктов, требуют создания условий хранения, защищающих их от улетучивания и высыхания. Рекомендуется хранить лекарственные средства в прохладном месте, в герметически укупоренной упаковке из непроницаемых для улетучивающихся веществ материалов или в первичной и вторичной (потребительской) упаковке в соответствии с требованиями, указанными в фармакопейной статье или нормативной документации.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Лекарственные средства, представляющие собой фармацевтические субстанции, содержащие кристаллизационную воду (кристаллогидраты), проявляют свойства гигроскопичных веществ. Хранение кристаллогидратов рекомендуется осуществлять в герметично укупоренной упаковке в соответствии с требованиями, указанными в фармакопейной статье или нормативной документации. Как правило, </w:t>
      </w:r>
      <w:r w:rsidRPr="004878A3">
        <w:rPr>
          <w:rFonts w:ascii="Tahoma" w:eastAsia="Times New Roman" w:hAnsi="Tahoma" w:cs="Tahoma"/>
          <w:color w:val="4B4F58"/>
          <w:sz w:val="20"/>
          <w:szCs w:val="20"/>
          <w:shd w:val="clear" w:color="auto" w:fill="FFFF00"/>
          <w:lang w:eastAsia="ru-RU"/>
        </w:rPr>
        <w:t>кристаллогидраты хранят при температуре от 8 до 15</w:t>
      </w:r>
      <w:proofErr w:type="gramStart"/>
      <w:r w:rsidRPr="004878A3">
        <w:rPr>
          <w:rFonts w:ascii="Tahoma" w:eastAsia="Times New Roman" w:hAnsi="Tahoma" w:cs="Tahoma"/>
          <w:color w:val="4B4F58"/>
          <w:sz w:val="20"/>
          <w:szCs w:val="20"/>
          <w:shd w:val="clear" w:color="auto" w:fill="FFFF00"/>
          <w:lang w:eastAsia="ru-RU"/>
        </w:rPr>
        <w:t xml:space="preserve"> °С</w:t>
      </w:r>
      <w:proofErr w:type="gramEnd"/>
      <w:r w:rsidRPr="004878A3">
        <w:rPr>
          <w:rFonts w:ascii="Tahoma" w:eastAsia="Times New Roman" w:hAnsi="Tahoma" w:cs="Tahoma"/>
          <w:color w:val="4B4F58"/>
          <w:sz w:val="20"/>
          <w:szCs w:val="20"/>
          <w:shd w:val="clear" w:color="auto" w:fill="FFFF00"/>
          <w:lang w:eastAsia="ru-RU"/>
        </w:rPr>
        <w:t xml:space="preserve"> и относительной влажности воздуха не более 60 %.</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Лекарственные средства, изменяющие свои свойства под действием температуры окружающей среды, являются термочувствительными. Лекарственные средства могут изменять свои свойства под воздействием комнатной и более высокой температуры (термолабильные лекарственные средства) или под воздействием пониженной температуры, в том числе при замораживании.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shd w:val="clear" w:color="auto" w:fill="FFFF00"/>
          <w:lang w:eastAsia="ru-RU"/>
        </w:rPr>
        <w:t>При хранении термочувствительных лекарственных средств необходимо обеспечить температурный режим, регламентированный требованиями фармакопейной статьи или нормативной документации, указанный на первичной и/или на вторичной (потребительской) упаковке лекарственного средства.</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Термолабильные лекарственные средства следует хранить в специально оборудованных помещениях (холодильных камерах) или в помещениях для хранения, оснащенных достаточным количеством холодильных шкафов, холодильников. </w:t>
      </w:r>
      <w:r w:rsidRPr="004878A3">
        <w:rPr>
          <w:rFonts w:ascii="Tahoma" w:eastAsia="Times New Roman" w:hAnsi="Tahoma" w:cs="Tahoma"/>
          <w:color w:val="4B4F58"/>
          <w:sz w:val="20"/>
          <w:szCs w:val="20"/>
          <w:shd w:val="clear" w:color="auto" w:fill="FFFF00"/>
          <w:lang w:eastAsia="ru-RU"/>
        </w:rPr>
        <w:t>Для хранения термолабильных лекарственных средств должны использоваться фармацевтические холодильники или холодильники для крови и ее препаратов.</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Надлежащее качество иммунобиологических лекарственных средств, безопасность и эффективность их применения обеспечивается системой «</w:t>
      </w:r>
      <w:proofErr w:type="spellStart"/>
      <w:r w:rsidRPr="004878A3">
        <w:rPr>
          <w:rFonts w:ascii="Tahoma" w:eastAsia="Times New Roman" w:hAnsi="Tahoma" w:cs="Tahoma"/>
          <w:color w:val="4B4F58"/>
          <w:sz w:val="20"/>
          <w:szCs w:val="20"/>
          <w:lang w:eastAsia="ru-RU"/>
        </w:rPr>
        <w:t>холодовой</w:t>
      </w:r>
      <w:proofErr w:type="spellEnd"/>
      <w:r w:rsidRPr="004878A3">
        <w:rPr>
          <w:rFonts w:ascii="Tahoma" w:eastAsia="Times New Roman" w:hAnsi="Tahoma" w:cs="Tahoma"/>
          <w:color w:val="4B4F58"/>
          <w:sz w:val="20"/>
          <w:szCs w:val="20"/>
          <w:lang w:eastAsia="ru-RU"/>
        </w:rPr>
        <w:t xml:space="preserve"> цепи», которая должна выполняться на всех четырех ее уровнях.</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В холодильниках (камерах, шкафах) должна быть установлена температура, соответствующая температурному режиму хранения находящихся в них лекарственных средств. Хранение иммунобиологических лекарственных препаратов должно осуществляться при температуре не выше 8 °С. К каждой упаковке иммунобиологического лекарственного препарата в холодильнике должен быть обеспечен доступ охлажденного воздуха. Не допускается совместное хранение в холодильнике иммунобиологических лекарственных препаратов с другими лекарственными средствами.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shd w:val="clear" w:color="auto" w:fill="FFFF00"/>
          <w:lang w:eastAsia="ru-RU"/>
        </w:rPr>
        <w:t>Для мониторинга температурного режима хранения термолабильных лекарственных сре</w:t>
      </w:r>
      <w:proofErr w:type="gramStart"/>
      <w:r w:rsidRPr="004878A3">
        <w:rPr>
          <w:rFonts w:ascii="Tahoma" w:eastAsia="Times New Roman" w:hAnsi="Tahoma" w:cs="Tahoma"/>
          <w:color w:val="4B4F58"/>
          <w:sz w:val="20"/>
          <w:szCs w:val="20"/>
          <w:shd w:val="clear" w:color="auto" w:fill="FFFF00"/>
          <w:lang w:eastAsia="ru-RU"/>
        </w:rPr>
        <w:t>дств вс</w:t>
      </w:r>
      <w:proofErr w:type="gramEnd"/>
      <w:r w:rsidRPr="004878A3">
        <w:rPr>
          <w:rFonts w:ascii="Tahoma" w:eastAsia="Times New Roman" w:hAnsi="Tahoma" w:cs="Tahoma"/>
          <w:color w:val="4B4F58"/>
          <w:sz w:val="20"/>
          <w:szCs w:val="20"/>
          <w:shd w:val="clear" w:color="auto" w:fill="FFFF00"/>
          <w:lang w:eastAsia="ru-RU"/>
        </w:rPr>
        <w:t>е холодильники (камеры, шкафы) должны быть обеспечены термометрами. Непрерывный контроль температурного режима осуществляют с помощью </w:t>
      </w:r>
      <w:hyperlink r:id="rId8" w:history="1">
        <w:r w:rsidRPr="004878A3">
          <w:rPr>
            <w:rFonts w:ascii="Tahoma" w:eastAsia="Times New Roman" w:hAnsi="Tahoma" w:cs="Tahoma"/>
            <w:color w:val="0095C0"/>
            <w:sz w:val="20"/>
            <w:szCs w:val="20"/>
            <w:lang w:eastAsia="ru-RU"/>
          </w:rPr>
          <w:t xml:space="preserve">термографов и </w:t>
        </w:r>
        <w:proofErr w:type="spellStart"/>
        <w:r w:rsidRPr="004878A3">
          <w:rPr>
            <w:rFonts w:ascii="Tahoma" w:eastAsia="Times New Roman" w:hAnsi="Tahoma" w:cs="Tahoma"/>
            <w:color w:val="0095C0"/>
            <w:sz w:val="20"/>
            <w:szCs w:val="20"/>
            <w:lang w:eastAsia="ru-RU"/>
          </w:rPr>
          <w:t>терморегистраторов</w:t>
        </w:r>
        <w:proofErr w:type="spellEnd"/>
      </w:hyperlink>
      <w:r w:rsidRPr="004878A3">
        <w:rPr>
          <w:rFonts w:ascii="Tahoma" w:eastAsia="Times New Roman" w:hAnsi="Tahoma" w:cs="Tahoma"/>
          <w:color w:val="4B4F58"/>
          <w:sz w:val="20"/>
          <w:szCs w:val="20"/>
          <w:shd w:val="clear" w:color="auto" w:fill="FFFF00"/>
          <w:lang w:eastAsia="ru-RU"/>
        </w:rPr>
        <w:t>, показания которых регистрируют не реже двух раз в сутки.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shd w:val="clear" w:color="auto" w:fill="00FF00"/>
          <w:lang w:eastAsia="ru-RU"/>
        </w:rPr>
        <w:t>Температурный режим на полках холодильника различен: температура ниже возле морозильной камеры, выше - возле открываемой дверной панели.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lastRenderedPageBreak/>
        <w:t>Обеспечение холодного места подразумевает хранение лекарственных средств в холодильнике при температуре от 2 до 8</w:t>
      </w:r>
      <w:proofErr w:type="gramStart"/>
      <w:r w:rsidRPr="004878A3">
        <w:rPr>
          <w:rFonts w:ascii="Tahoma" w:eastAsia="Times New Roman" w:hAnsi="Tahoma" w:cs="Tahoma"/>
          <w:color w:val="4B4F58"/>
          <w:sz w:val="20"/>
          <w:szCs w:val="20"/>
          <w:lang w:eastAsia="ru-RU"/>
        </w:rPr>
        <w:t xml:space="preserve"> °С</w:t>
      </w:r>
      <w:proofErr w:type="gramEnd"/>
      <w:r w:rsidRPr="004878A3">
        <w:rPr>
          <w:rFonts w:ascii="Tahoma" w:eastAsia="Times New Roman" w:hAnsi="Tahoma" w:cs="Tahoma"/>
          <w:color w:val="4B4F58"/>
          <w:sz w:val="20"/>
          <w:szCs w:val="20"/>
          <w:lang w:eastAsia="ru-RU"/>
        </w:rPr>
        <w:t>, не допуская замораживания. </w:t>
      </w:r>
      <w:proofErr w:type="gramStart"/>
      <w:r w:rsidRPr="004878A3">
        <w:rPr>
          <w:rFonts w:ascii="Tahoma" w:eastAsia="Times New Roman" w:hAnsi="Tahoma" w:cs="Tahoma"/>
          <w:color w:val="4B4F58"/>
          <w:sz w:val="20"/>
          <w:szCs w:val="20"/>
          <w:shd w:val="clear" w:color="auto" w:fill="FFFF00"/>
          <w:lang w:eastAsia="ru-RU"/>
        </w:rPr>
        <w:t>Хранение в прохладном месте подразумевает хранение лекарственных средств при температуре от 8 до 15 °С. В этом случае допускается хранение лекарственных средств в холодильнике, за исключением лекарственных средств, которые при хранении в условиях температурного режима холодильника ниже 8 °С могут изменить свои физико-химические характеристики, например, настойки, жидкие экстракты и др. </w:t>
      </w:r>
      <w:r w:rsidRPr="004878A3">
        <w:rPr>
          <w:rFonts w:ascii="Tahoma" w:eastAsia="Times New Roman" w:hAnsi="Tahoma" w:cs="Tahoma"/>
          <w:color w:val="4B4F58"/>
          <w:sz w:val="20"/>
          <w:szCs w:val="20"/>
          <w:lang w:eastAsia="ru-RU"/>
        </w:rPr>
        <w:t>Хранение при комнатной температуре подразумевает температурный режим от 15 до</w:t>
      </w:r>
      <w:proofErr w:type="gramEnd"/>
      <w:r w:rsidRPr="004878A3">
        <w:rPr>
          <w:rFonts w:ascii="Tahoma" w:eastAsia="Times New Roman" w:hAnsi="Tahoma" w:cs="Tahoma"/>
          <w:color w:val="4B4F58"/>
          <w:sz w:val="20"/>
          <w:szCs w:val="20"/>
          <w:lang w:eastAsia="ru-RU"/>
        </w:rPr>
        <w:t xml:space="preserve"> 25</w:t>
      </w:r>
      <w:proofErr w:type="gramStart"/>
      <w:r w:rsidRPr="004878A3">
        <w:rPr>
          <w:rFonts w:ascii="Tahoma" w:eastAsia="Times New Roman" w:hAnsi="Tahoma" w:cs="Tahoma"/>
          <w:color w:val="4B4F58"/>
          <w:sz w:val="20"/>
          <w:szCs w:val="20"/>
          <w:lang w:eastAsia="ru-RU"/>
        </w:rPr>
        <w:t xml:space="preserve"> °С</w:t>
      </w:r>
      <w:proofErr w:type="gramEnd"/>
      <w:r w:rsidRPr="004878A3">
        <w:rPr>
          <w:rFonts w:ascii="Tahoma" w:eastAsia="Times New Roman" w:hAnsi="Tahoma" w:cs="Tahoma"/>
          <w:color w:val="4B4F58"/>
          <w:sz w:val="20"/>
          <w:szCs w:val="20"/>
          <w:lang w:eastAsia="ru-RU"/>
        </w:rPr>
        <w:t xml:space="preserve"> или, в зависимости от климатических условий, до 30 °С. Хранение в морозильной камере обеспечивает температурный режим лекарственных средств от -5 до -18 °С. Хранение в условиях глубокого замораживания предусматривает температурный режим ниже -18 °С.</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Лекарственные средства целесообразно размещать в зонах и на полках холодильника, соответствующих их температурному режиму хранения. Не допускается хранение иммунобиологических лекарственных препаратов на дверной панели холодильника.</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В помещениях для хранения необходимо обеспечить условия хранения лекарственных средств, требующих защиты от воздействия пониженной температуры, для которых в фармакопейной статье или нормативной документации установлен нижний предел температурного режима хранения.</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Не допускается подвергать замораживанию лекарственные средства, имеющие соответствующие требования в фармакопейной статье или нормативной документации и указанные на первичной или вторичной упаковке, в том числе препараты инсулина, адсорбированные иммунобиологические препараты и др.</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Не допускается подвергать замораживанию лекарственные средства, помещенные в упаковку, способную разрушаться при замораживании, например, лекарственные препараты в ампулах, стеклянных флаконах и др.</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Используемые в фармакопее определения, характеризующие температурные режимы хранения лекарственных средств, приведены в таблице.</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Необходимо обеспечить соблюдение условий хранения  лекарственных средств и сохранения их целостности при транспортировании.</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Для лекарственных средств, особо чувствительных к изменению температурного режима (вакцины, сыворотки и другие иммунобиологические лекарственные препараты, лекарственные препарат инсулина и др.), при транспортировании должен соблюдаться регламентируемый фармакопейной статьей или нормативной документацией температурный режим.</w:t>
      </w:r>
    </w:p>
    <w:p w:rsidR="004878A3" w:rsidRPr="004878A3" w:rsidRDefault="004878A3" w:rsidP="004878A3">
      <w:pPr>
        <w:spacing w:before="100" w:beforeAutospacing="1" w:after="100" w:afterAutospacing="1" w:line="240" w:lineRule="auto"/>
        <w:rPr>
          <w:rFonts w:ascii="Tahoma" w:eastAsia="Times New Roman" w:hAnsi="Tahoma" w:cs="Tahoma"/>
          <w:color w:val="4B4F58"/>
          <w:sz w:val="20"/>
          <w:szCs w:val="20"/>
          <w:lang w:eastAsia="ru-RU"/>
        </w:rPr>
      </w:pPr>
      <w:r w:rsidRPr="004878A3">
        <w:rPr>
          <w:rFonts w:ascii="Tahoma" w:eastAsia="Times New Roman" w:hAnsi="Tahoma" w:cs="Tahoma"/>
          <w:color w:val="4B4F58"/>
          <w:sz w:val="20"/>
          <w:szCs w:val="20"/>
          <w:lang w:eastAsia="ru-RU"/>
        </w:rPr>
        <w:t>Таблица </w:t>
      </w:r>
      <w:r w:rsidRPr="004878A3">
        <w:rPr>
          <w:rFonts w:ascii="Tahoma" w:eastAsia="Times New Roman" w:hAnsi="Tahoma" w:cs="Tahoma"/>
          <w:b/>
          <w:bCs/>
          <w:color w:val="4B4F58"/>
          <w:sz w:val="20"/>
          <w:szCs w:val="20"/>
          <w:lang w:eastAsia="ru-RU"/>
        </w:rPr>
        <w:t>-</w:t>
      </w:r>
      <w:r w:rsidRPr="004878A3">
        <w:rPr>
          <w:rFonts w:ascii="Tahoma" w:eastAsia="Times New Roman" w:hAnsi="Tahoma" w:cs="Tahoma"/>
          <w:color w:val="4B4F58"/>
          <w:sz w:val="20"/>
          <w:szCs w:val="20"/>
          <w:lang w:eastAsia="ru-RU"/>
        </w:rPr>
        <w:t> Определения, характеризующие режимы хранения лекарственных средств</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0"/>
        <w:gridCol w:w="4110"/>
      </w:tblGrid>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8A3">
              <w:rPr>
                <w:rFonts w:ascii="Times New Roman" w:eastAsia="Times New Roman" w:hAnsi="Times New Roman" w:cs="Times New Roman"/>
                <w:b/>
                <w:bCs/>
                <w:sz w:val="24"/>
                <w:szCs w:val="24"/>
                <w:lang w:eastAsia="ru-RU"/>
              </w:rPr>
              <w:t>Режим хранения</w:t>
            </w:r>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8A3">
              <w:rPr>
                <w:rFonts w:ascii="Times New Roman" w:eastAsia="Times New Roman" w:hAnsi="Times New Roman" w:cs="Times New Roman"/>
                <w:b/>
                <w:bCs/>
                <w:sz w:val="24"/>
                <w:szCs w:val="24"/>
                <w:lang w:eastAsia="ru-RU"/>
              </w:rPr>
              <w:t>Температурный интервал, °</w:t>
            </w:r>
            <w:proofErr w:type="gramStart"/>
            <w:r w:rsidRPr="004878A3">
              <w:rPr>
                <w:rFonts w:ascii="Times New Roman" w:eastAsia="Times New Roman" w:hAnsi="Times New Roman" w:cs="Times New Roman"/>
                <w:b/>
                <w:bCs/>
                <w:sz w:val="24"/>
                <w:szCs w:val="24"/>
                <w:lang w:eastAsia="ru-RU"/>
              </w:rPr>
              <w:t>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не выше 30</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2 до 30</w:t>
            </w:r>
            <w:proofErr w:type="gramStart"/>
            <w:r w:rsidRPr="004878A3">
              <w:rPr>
                <w:rFonts w:ascii="Times New Roman" w:eastAsia="Times New Roman" w:hAnsi="Times New Roman" w:cs="Times New Roman"/>
                <w:sz w:val="24"/>
                <w:szCs w:val="24"/>
                <w:lang w:eastAsia="ru-RU"/>
              </w:rPr>
              <w:t xml:space="preserve"> °С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не выше 25</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2 до 25</w:t>
            </w:r>
            <w:proofErr w:type="gramStart"/>
            <w:r w:rsidRPr="004878A3">
              <w:rPr>
                <w:rFonts w:ascii="Times New Roman" w:eastAsia="Times New Roman" w:hAnsi="Times New Roman" w:cs="Times New Roman"/>
                <w:sz w:val="24"/>
                <w:szCs w:val="24"/>
                <w:lang w:eastAsia="ru-RU"/>
              </w:rPr>
              <w:t xml:space="preserve"> °С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не выше 15</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2 до 15</w:t>
            </w:r>
            <w:proofErr w:type="gramStart"/>
            <w:r w:rsidRPr="004878A3">
              <w:rPr>
                <w:rFonts w:ascii="Times New Roman" w:eastAsia="Times New Roman" w:hAnsi="Times New Roman" w:cs="Times New Roman"/>
                <w:sz w:val="24"/>
                <w:szCs w:val="24"/>
                <w:lang w:eastAsia="ru-RU"/>
              </w:rPr>
              <w:t xml:space="preserve"> °С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не выше 8</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2 до 8</w:t>
            </w:r>
            <w:proofErr w:type="gramStart"/>
            <w:r w:rsidRPr="004878A3">
              <w:rPr>
                <w:rFonts w:ascii="Times New Roman" w:eastAsia="Times New Roman" w:hAnsi="Times New Roman" w:cs="Times New Roman"/>
                <w:sz w:val="24"/>
                <w:szCs w:val="24"/>
                <w:lang w:eastAsia="ru-RU"/>
              </w:rPr>
              <w:t xml:space="preserve"> °С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не ниже 8</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8 до 25</w:t>
            </w:r>
            <w:proofErr w:type="gramStart"/>
            <w:r w:rsidRPr="004878A3">
              <w:rPr>
                <w:rFonts w:ascii="Times New Roman" w:eastAsia="Times New Roman" w:hAnsi="Times New Roman" w:cs="Times New Roman"/>
                <w:sz w:val="24"/>
                <w:szCs w:val="24"/>
                <w:lang w:eastAsia="ru-RU"/>
              </w:rPr>
              <w:t xml:space="preserve"> °С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от 15 до 25</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15 до 25</w:t>
            </w:r>
            <w:proofErr w:type="gramStart"/>
            <w:r w:rsidRPr="004878A3">
              <w:rPr>
                <w:rFonts w:ascii="Times New Roman" w:eastAsia="Times New Roman" w:hAnsi="Times New Roman" w:cs="Times New Roman"/>
                <w:sz w:val="24"/>
                <w:szCs w:val="24"/>
                <w:lang w:eastAsia="ru-RU"/>
              </w:rPr>
              <w:t xml:space="preserve"> °С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от 8 до 15</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8 до 15</w:t>
            </w:r>
            <w:proofErr w:type="gramStart"/>
            <w:r w:rsidRPr="004878A3">
              <w:rPr>
                <w:rFonts w:ascii="Times New Roman" w:eastAsia="Times New Roman" w:hAnsi="Times New Roman" w:cs="Times New Roman"/>
                <w:sz w:val="24"/>
                <w:szCs w:val="24"/>
                <w:lang w:eastAsia="ru-RU"/>
              </w:rPr>
              <w:t xml:space="preserve"> °С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от -5 до -18</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-5 до -18</w:t>
            </w:r>
            <w:proofErr w:type="gramStart"/>
            <w:r w:rsidRPr="004878A3">
              <w:rPr>
                <w:rFonts w:ascii="Times New Roman" w:eastAsia="Times New Roman" w:hAnsi="Times New Roman" w:cs="Times New Roman"/>
                <w:sz w:val="24"/>
                <w:szCs w:val="24"/>
                <w:lang w:eastAsia="ru-RU"/>
              </w:rPr>
              <w:t xml:space="preserve"> °С</w:t>
            </w:r>
            <w:proofErr w:type="gramEnd"/>
          </w:p>
        </w:tc>
      </w:tr>
      <w:tr w:rsidR="004878A3" w:rsidRPr="004878A3" w:rsidTr="004878A3">
        <w:trPr>
          <w:tblCellSpacing w:w="0" w:type="dxa"/>
        </w:trPr>
        <w:tc>
          <w:tcPr>
            <w:tcW w:w="525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Хранить при температуре ниже -18</w:t>
            </w:r>
            <w:proofErr w:type="gramStart"/>
            <w:r w:rsidRPr="004878A3">
              <w:rPr>
                <w:rFonts w:ascii="Times New Roman" w:eastAsia="Times New Roman" w:hAnsi="Times New Roman" w:cs="Times New Roman"/>
                <w:sz w:val="24"/>
                <w:szCs w:val="24"/>
                <w:lang w:eastAsia="ru-RU"/>
              </w:rPr>
              <w:t xml:space="preserve"> °С</w:t>
            </w:r>
            <w:proofErr w:type="gramEnd"/>
          </w:p>
        </w:tc>
        <w:tc>
          <w:tcPr>
            <w:tcW w:w="4110" w:type="dxa"/>
            <w:tcBorders>
              <w:top w:val="single" w:sz="6" w:space="0" w:color="E2E3E4"/>
              <w:left w:val="single" w:sz="6" w:space="0" w:color="E2E3E4"/>
              <w:bottom w:val="single" w:sz="6" w:space="0" w:color="E2E3E4"/>
              <w:right w:val="single" w:sz="6" w:space="0" w:color="E2E3E4"/>
            </w:tcBorders>
            <w:vAlign w:val="center"/>
            <w:hideMark/>
          </w:tcPr>
          <w:p w:rsidR="004878A3" w:rsidRPr="004878A3" w:rsidRDefault="004878A3" w:rsidP="004878A3">
            <w:pPr>
              <w:spacing w:before="100" w:beforeAutospacing="1" w:after="100" w:afterAutospacing="1" w:line="240" w:lineRule="auto"/>
              <w:rPr>
                <w:rFonts w:ascii="Times New Roman" w:eastAsia="Times New Roman" w:hAnsi="Times New Roman" w:cs="Times New Roman"/>
                <w:sz w:val="24"/>
                <w:szCs w:val="24"/>
                <w:lang w:eastAsia="ru-RU"/>
              </w:rPr>
            </w:pPr>
            <w:r w:rsidRPr="004878A3">
              <w:rPr>
                <w:rFonts w:ascii="Times New Roman" w:eastAsia="Times New Roman" w:hAnsi="Times New Roman" w:cs="Times New Roman"/>
                <w:sz w:val="24"/>
                <w:szCs w:val="24"/>
                <w:lang w:eastAsia="ru-RU"/>
              </w:rPr>
              <w:t>от -18</w:t>
            </w:r>
            <w:proofErr w:type="gramStart"/>
            <w:r w:rsidRPr="004878A3">
              <w:rPr>
                <w:rFonts w:ascii="Times New Roman" w:eastAsia="Times New Roman" w:hAnsi="Times New Roman" w:cs="Times New Roman"/>
                <w:sz w:val="24"/>
                <w:szCs w:val="24"/>
                <w:lang w:eastAsia="ru-RU"/>
              </w:rPr>
              <w:t xml:space="preserve"> °С</w:t>
            </w:r>
            <w:proofErr w:type="gramEnd"/>
            <w:r w:rsidRPr="004878A3">
              <w:rPr>
                <w:rFonts w:ascii="Times New Roman" w:eastAsia="Times New Roman" w:hAnsi="Times New Roman" w:cs="Times New Roman"/>
                <w:sz w:val="24"/>
                <w:szCs w:val="24"/>
                <w:lang w:eastAsia="ru-RU"/>
              </w:rPr>
              <w:t xml:space="preserve">  </w:t>
            </w:r>
          </w:p>
        </w:tc>
      </w:tr>
    </w:tbl>
    <w:p w:rsidR="00002A1E" w:rsidRDefault="00002A1E"/>
    <w:sectPr w:rsidR="00002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A3"/>
    <w:rsid w:val="00002A1E"/>
    <w:rsid w:val="001A2C00"/>
    <w:rsid w:val="0048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00"/>
  </w:style>
  <w:style w:type="paragraph" w:styleId="1">
    <w:name w:val="heading 1"/>
    <w:basedOn w:val="a"/>
    <w:link w:val="10"/>
    <w:uiPriority w:val="9"/>
    <w:qFormat/>
    <w:rsid w:val="004878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2C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2C00"/>
    <w:rPr>
      <w:rFonts w:ascii="Times New Roman" w:eastAsia="Times New Roman" w:hAnsi="Times New Roman" w:cs="Times New Roman"/>
      <w:b/>
      <w:bCs/>
      <w:sz w:val="27"/>
      <w:szCs w:val="27"/>
    </w:rPr>
  </w:style>
  <w:style w:type="character" w:styleId="a3">
    <w:name w:val="Strong"/>
    <w:basedOn w:val="a0"/>
    <w:uiPriority w:val="22"/>
    <w:qFormat/>
    <w:rsid w:val="001A2C00"/>
    <w:rPr>
      <w:b/>
      <w:bCs/>
    </w:rPr>
  </w:style>
  <w:style w:type="paragraph" w:styleId="a4">
    <w:name w:val="List Paragraph"/>
    <w:basedOn w:val="a"/>
    <w:uiPriority w:val="34"/>
    <w:qFormat/>
    <w:rsid w:val="001A2C00"/>
    <w:pPr>
      <w:ind w:left="720"/>
      <w:contextualSpacing/>
    </w:pPr>
  </w:style>
  <w:style w:type="character" w:customStyle="1" w:styleId="10">
    <w:name w:val="Заголовок 1 Знак"/>
    <w:basedOn w:val="a0"/>
    <w:link w:val="1"/>
    <w:uiPriority w:val="9"/>
    <w:rsid w:val="004878A3"/>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4878A3"/>
    <w:rPr>
      <w:color w:val="0000FF"/>
      <w:u w:val="single"/>
    </w:rPr>
  </w:style>
  <w:style w:type="character" w:customStyle="1" w:styleId="breads-item-current">
    <w:name w:val="breads-item-current"/>
    <w:basedOn w:val="a0"/>
    <w:rsid w:val="004878A3"/>
  </w:style>
  <w:style w:type="paragraph" w:styleId="a6">
    <w:name w:val="Normal (Web)"/>
    <w:basedOn w:val="a"/>
    <w:uiPriority w:val="99"/>
    <w:unhideWhenUsed/>
    <w:rsid w:val="00487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00"/>
  </w:style>
  <w:style w:type="paragraph" w:styleId="1">
    <w:name w:val="heading 1"/>
    <w:basedOn w:val="a"/>
    <w:link w:val="10"/>
    <w:uiPriority w:val="9"/>
    <w:qFormat/>
    <w:rsid w:val="004878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2C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2C00"/>
    <w:rPr>
      <w:rFonts w:ascii="Times New Roman" w:eastAsia="Times New Roman" w:hAnsi="Times New Roman" w:cs="Times New Roman"/>
      <w:b/>
      <w:bCs/>
      <w:sz w:val="27"/>
      <w:szCs w:val="27"/>
    </w:rPr>
  </w:style>
  <w:style w:type="character" w:styleId="a3">
    <w:name w:val="Strong"/>
    <w:basedOn w:val="a0"/>
    <w:uiPriority w:val="22"/>
    <w:qFormat/>
    <w:rsid w:val="001A2C00"/>
    <w:rPr>
      <w:b/>
      <w:bCs/>
    </w:rPr>
  </w:style>
  <w:style w:type="paragraph" w:styleId="a4">
    <w:name w:val="List Paragraph"/>
    <w:basedOn w:val="a"/>
    <w:uiPriority w:val="34"/>
    <w:qFormat/>
    <w:rsid w:val="001A2C00"/>
    <w:pPr>
      <w:ind w:left="720"/>
      <w:contextualSpacing/>
    </w:pPr>
  </w:style>
  <w:style w:type="character" w:customStyle="1" w:styleId="10">
    <w:name w:val="Заголовок 1 Знак"/>
    <w:basedOn w:val="a0"/>
    <w:link w:val="1"/>
    <w:uiPriority w:val="9"/>
    <w:rsid w:val="004878A3"/>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4878A3"/>
    <w:rPr>
      <w:color w:val="0000FF"/>
      <w:u w:val="single"/>
    </w:rPr>
  </w:style>
  <w:style w:type="character" w:customStyle="1" w:styleId="breads-item-current">
    <w:name w:val="breads-item-current"/>
    <w:basedOn w:val="a0"/>
    <w:rsid w:val="004878A3"/>
  </w:style>
  <w:style w:type="paragraph" w:styleId="a6">
    <w:name w:val="Normal (Web)"/>
    <w:basedOn w:val="a"/>
    <w:uiPriority w:val="99"/>
    <w:unhideWhenUsed/>
    <w:rsid w:val="00487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91">
      <w:bodyDiv w:val="1"/>
      <w:marLeft w:val="0"/>
      <w:marRight w:val="0"/>
      <w:marTop w:val="0"/>
      <w:marBottom w:val="0"/>
      <w:divBdr>
        <w:top w:val="none" w:sz="0" w:space="0" w:color="auto"/>
        <w:left w:val="none" w:sz="0" w:space="0" w:color="auto"/>
        <w:bottom w:val="none" w:sz="0" w:space="0" w:color="auto"/>
        <w:right w:val="none" w:sz="0" w:space="0" w:color="auto"/>
      </w:divBdr>
      <w:divsChild>
        <w:div w:id="736364049">
          <w:marLeft w:val="0"/>
          <w:marRight w:val="0"/>
          <w:marTop w:val="0"/>
          <w:marBottom w:val="0"/>
          <w:divBdr>
            <w:top w:val="none" w:sz="0" w:space="0" w:color="auto"/>
            <w:left w:val="none" w:sz="0" w:space="0" w:color="auto"/>
            <w:bottom w:val="none" w:sz="0" w:space="0" w:color="auto"/>
            <w:right w:val="none" w:sz="0" w:space="0" w:color="auto"/>
          </w:divBdr>
          <w:divsChild>
            <w:div w:id="435909284">
              <w:marLeft w:val="0"/>
              <w:marRight w:val="0"/>
              <w:marTop w:val="0"/>
              <w:marBottom w:val="0"/>
              <w:divBdr>
                <w:top w:val="none" w:sz="0" w:space="0" w:color="auto"/>
                <w:left w:val="none" w:sz="0" w:space="0" w:color="auto"/>
                <w:bottom w:val="none" w:sz="0" w:space="0" w:color="auto"/>
                <w:right w:val="none" w:sz="0" w:space="0" w:color="auto"/>
              </w:divBdr>
            </w:div>
          </w:divsChild>
        </w:div>
        <w:div w:id="280383096">
          <w:marLeft w:val="0"/>
          <w:marRight w:val="0"/>
          <w:marTop w:val="0"/>
          <w:marBottom w:val="0"/>
          <w:divBdr>
            <w:top w:val="none" w:sz="0" w:space="0" w:color="auto"/>
            <w:left w:val="none" w:sz="0" w:space="0" w:color="auto"/>
            <w:bottom w:val="none" w:sz="0" w:space="0" w:color="auto"/>
            <w:right w:val="none" w:sz="0" w:space="0" w:color="auto"/>
          </w:divBdr>
          <w:divsChild>
            <w:div w:id="556208373">
              <w:marLeft w:val="0"/>
              <w:marRight w:val="0"/>
              <w:marTop w:val="0"/>
              <w:marBottom w:val="0"/>
              <w:divBdr>
                <w:top w:val="none" w:sz="0" w:space="0" w:color="auto"/>
                <w:left w:val="none" w:sz="0" w:space="0" w:color="auto"/>
                <w:bottom w:val="none" w:sz="0" w:space="0" w:color="auto"/>
                <w:right w:val="none" w:sz="0" w:space="0" w:color="auto"/>
              </w:divBdr>
              <w:divsChild>
                <w:div w:id="13503319">
                  <w:marLeft w:val="0"/>
                  <w:marRight w:val="0"/>
                  <w:marTop w:val="0"/>
                  <w:marBottom w:val="0"/>
                  <w:divBdr>
                    <w:top w:val="none" w:sz="0" w:space="0" w:color="auto"/>
                    <w:left w:val="none" w:sz="0" w:space="0" w:color="auto"/>
                    <w:bottom w:val="none" w:sz="0" w:space="0" w:color="auto"/>
                    <w:right w:val="none" w:sz="0" w:space="0" w:color="auto"/>
                  </w:divBdr>
                  <w:divsChild>
                    <w:div w:id="1188367621">
                      <w:marLeft w:val="0"/>
                      <w:marRight w:val="0"/>
                      <w:marTop w:val="0"/>
                      <w:marBottom w:val="0"/>
                      <w:divBdr>
                        <w:top w:val="none" w:sz="0" w:space="0" w:color="auto"/>
                        <w:left w:val="none" w:sz="0" w:space="0" w:color="auto"/>
                        <w:bottom w:val="none" w:sz="0" w:space="0" w:color="auto"/>
                        <w:right w:val="none" w:sz="0" w:space="0" w:color="auto"/>
                      </w:divBdr>
                      <w:divsChild>
                        <w:div w:id="57898739">
                          <w:marLeft w:val="0"/>
                          <w:marRight w:val="0"/>
                          <w:marTop w:val="0"/>
                          <w:marBottom w:val="300"/>
                          <w:divBdr>
                            <w:top w:val="none" w:sz="0" w:space="0" w:color="auto"/>
                            <w:left w:val="none" w:sz="0" w:space="0" w:color="auto"/>
                            <w:bottom w:val="none" w:sz="0" w:space="0" w:color="auto"/>
                            <w:right w:val="none" w:sz="0" w:space="0" w:color="auto"/>
                          </w:divBdr>
                          <w:divsChild>
                            <w:div w:id="1308902011">
                              <w:marLeft w:val="0"/>
                              <w:marRight w:val="0"/>
                              <w:marTop w:val="0"/>
                              <w:marBottom w:val="0"/>
                              <w:divBdr>
                                <w:top w:val="none" w:sz="0" w:space="0" w:color="auto"/>
                                <w:left w:val="none" w:sz="0" w:space="0" w:color="auto"/>
                                <w:bottom w:val="none" w:sz="0" w:space="0" w:color="auto"/>
                                <w:right w:val="none" w:sz="0" w:space="0" w:color="auto"/>
                              </w:divBdr>
                              <w:divsChild>
                                <w:div w:id="858278495">
                                  <w:marLeft w:val="0"/>
                                  <w:marRight w:val="75"/>
                                  <w:marTop w:val="0"/>
                                  <w:marBottom w:val="0"/>
                                  <w:divBdr>
                                    <w:top w:val="none" w:sz="0" w:space="0" w:color="auto"/>
                                    <w:left w:val="none" w:sz="0" w:space="0" w:color="auto"/>
                                    <w:bottom w:val="none" w:sz="0" w:space="0" w:color="auto"/>
                                    <w:right w:val="none" w:sz="0" w:space="0" w:color="auto"/>
                                  </w:divBdr>
                                </w:div>
                                <w:div w:id="1280332703">
                                  <w:marLeft w:val="0"/>
                                  <w:marRight w:val="75"/>
                                  <w:marTop w:val="0"/>
                                  <w:marBottom w:val="0"/>
                                  <w:divBdr>
                                    <w:top w:val="none" w:sz="0" w:space="0" w:color="auto"/>
                                    <w:left w:val="none" w:sz="0" w:space="0" w:color="auto"/>
                                    <w:bottom w:val="none" w:sz="0" w:space="0" w:color="auto"/>
                                    <w:right w:val="none" w:sz="0" w:space="0" w:color="auto"/>
                                  </w:divBdr>
                                </w:div>
                                <w:div w:id="232589583">
                                  <w:marLeft w:val="0"/>
                                  <w:marRight w:val="75"/>
                                  <w:marTop w:val="0"/>
                                  <w:marBottom w:val="0"/>
                                  <w:divBdr>
                                    <w:top w:val="none" w:sz="0" w:space="0" w:color="auto"/>
                                    <w:left w:val="none" w:sz="0" w:space="0" w:color="auto"/>
                                    <w:bottom w:val="none" w:sz="0" w:space="0" w:color="auto"/>
                                    <w:right w:val="none" w:sz="0" w:space="0" w:color="auto"/>
                                  </w:divBdr>
                                </w:div>
                                <w:div w:id="21070698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9453519">
                          <w:marLeft w:val="0"/>
                          <w:marRight w:val="0"/>
                          <w:marTop w:val="0"/>
                          <w:marBottom w:val="0"/>
                          <w:divBdr>
                            <w:top w:val="none" w:sz="0" w:space="0" w:color="auto"/>
                            <w:left w:val="none" w:sz="0" w:space="0" w:color="auto"/>
                            <w:bottom w:val="none" w:sz="0" w:space="0" w:color="auto"/>
                            <w:right w:val="none" w:sz="0" w:space="0" w:color="auto"/>
                          </w:divBdr>
                          <w:divsChild>
                            <w:div w:id="1956059625">
                              <w:marLeft w:val="0"/>
                              <w:marRight w:val="0"/>
                              <w:marTop w:val="0"/>
                              <w:marBottom w:val="0"/>
                              <w:divBdr>
                                <w:top w:val="none" w:sz="0" w:space="0" w:color="auto"/>
                                <w:left w:val="none" w:sz="0" w:space="0" w:color="auto"/>
                                <w:bottom w:val="none" w:sz="0" w:space="0" w:color="auto"/>
                                <w:right w:val="none" w:sz="0" w:space="0" w:color="auto"/>
                              </w:divBdr>
                            </w:div>
                            <w:div w:id="3385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oindikator.ru/categories/dlia-khraneniia-lekarstv" TargetMode="External"/><Relationship Id="rId3" Type="http://schemas.openxmlformats.org/officeDocument/2006/relationships/settings" Target="settings.xml"/><Relationship Id="rId7" Type="http://schemas.openxmlformats.org/officeDocument/2006/relationships/hyperlink" Target="http://www.termoindikator.ru/blog/category/no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rmoindikator.ru/blog" TargetMode="External"/><Relationship Id="rId5" Type="http://schemas.openxmlformats.org/officeDocument/2006/relationships/hyperlink" Target="http://www.termoindikato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2853</Words>
  <Characters>16267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2022-05-05T13:05:00Z</dcterms:created>
  <dcterms:modified xsi:type="dcterms:W3CDTF">2022-05-05T13:08:00Z</dcterms:modified>
</cp:coreProperties>
</file>