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76D" w:rsidRPr="0040176D" w:rsidRDefault="0040176D" w:rsidP="005148C6">
      <w:pPr>
        <w:shd w:val="clear" w:color="auto" w:fill="FFFFFF"/>
        <w:spacing w:after="0" w:line="240" w:lineRule="auto"/>
        <w:jc w:val="center"/>
        <w:rPr>
          <w:rFonts w:ascii="var(--player-main-font)" w:eastAsia="Times New Roman" w:hAnsi="var(--player-main-font)" w:cs="Arial"/>
          <w:b/>
          <w:bCs/>
          <w:color w:val="000000"/>
          <w:sz w:val="66"/>
          <w:szCs w:val="66"/>
          <w:lang w:eastAsia="ru-RU"/>
        </w:rPr>
      </w:pPr>
      <w:bookmarkStart w:id="0" w:name="_GoBack"/>
      <w:bookmarkEnd w:id="0"/>
      <w:r w:rsidRPr="0040176D">
        <w:rPr>
          <w:rFonts w:ascii="var(--player-main-font)" w:eastAsia="Times New Roman" w:hAnsi="var(--player-main-font)" w:cs="Arial"/>
          <w:b/>
          <w:bCs/>
          <w:color w:val="000000"/>
          <w:sz w:val="66"/>
          <w:szCs w:val="66"/>
          <w:lang w:eastAsia="ru-RU"/>
        </w:rPr>
        <w:t>Оценка уровня профессионального риска выявленных опасностей</w:t>
      </w:r>
    </w:p>
    <w:p w:rsidR="0040176D" w:rsidRDefault="0040176D" w:rsidP="005148C6">
      <w:pPr>
        <w:shd w:val="clear" w:color="auto" w:fill="FFFFFF"/>
        <w:spacing w:after="100" w:line="240" w:lineRule="auto"/>
        <w:jc w:val="center"/>
        <w:rPr>
          <w:rFonts w:ascii="var(--player-main-font)" w:eastAsia="Times New Roman" w:hAnsi="var(--player-main-font)" w:cs="Arial"/>
          <w:b/>
          <w:bCs/>
          <w:color w:val="000000"/>
          <w:sz w:val="36"/>
          <w:szCs w:val="36"/>
          <w:lang w:eastAsia="ru-RU"/>
        </w:rPr>
      </w:pPr>
      <w:r w:rsidRPr="0040176D">
        <w:rPr>
          <w:rFonts w:ascii="var(--player-main-font)" w:eastAsia="Times New Roman" w:hAnsi="var(--player-main-font)" w:cs="Arial"/>
          <w:b/>
          <w:bCs/>
          <w:color w:val="000000"/>
          <w:sz w:val="36"/>
          <w:szCs w:val="36"/>
          <w:lang w:eastAsia="ru-RU"/>
        </w:rPr>
        <w:t>Уровень профессионального риска (низкий, умеренный, средний высокий). Оценка уровня профессионального риска</w:t>
      </w:r>
    </w:p>
    <w:p w:rsidR="00605399" w:rsidRPr="00605399" w:rsidRDefault="00605399" w:rsidP="0060539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5399">
        <w:rPr>
          <w:rFonts w:ascii="Arial" w:eastAsia="Times New Roman" w:hAnsi="Arial" w:cs="Arial"/>
          <w:sz w:val="20"/>
          <w:szCs w:val="20"/>
          <w:lang w:eastAsia="ru-RU"/>
        </w:rPr>
        <w:fldChar w:fldCharType="begin"/>
      </w:r>
      <w:r w:rsidRPr="00605399">
        <w:rPr>
          <w:rFonts w:ascii="Arial" w:eastAsia="Times New Roman" w:hAnsi="Arial" w:cs="Arial"/>
          <w:sz w:val="20"/>
          <w:szCs w:val="20"/>
          <w:lang w:eastAsia="ru-RU"/>
        </w:rPr>
        <w:instrText xml:space="preserve"> HYPERLINK "kodeks://link/d?nd=901807664&amp;point=mark=000000000000000000000000000000000000000000000000008QO0M7"\o"’’Трудовой кодекс Российской Федерации (с изменениями на 15 июля 2022 года) (редакция, действующая с 25 июля 2022 года)’’</w:instrText>
      </w:r>
    </w:p>
    <w:p w:rsidR="00605399" w:rsidRPr="00605399" w:rsidRDefault="00605399" w:rsidP="0060539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5399">
        <w:rPr>
          <w:rFonts w:ascii="Arial" w:eastAsia="Times New Roman" w:hAnsi="Arial" w:cs="Arial"/>
          <w:sz w:val="20"/>
          <w:szCs w:val="20"/>
          <w:lang w:eastAsia="ru-RU"/>
        </w:rPr>
        <w:instrText>Кодекс РФ от 30.12.2001 N 197-ФЗ</w:instrText>
      </w:r>
    </w:p>
    <w:p w:rsidR="00605399" w:rsidRPr="00605399" w:rsidRDefault="00605399" w:rsidP="0060539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05399">
        <w:rPr>
          <w:rFonts w:ascii="Arial" w:eastAsia="Times New Roman" w:hAnsi="Arial" w:cs="Arial"/>
          <w:sz w:val="20"/>
          <w:szCs w:val="20"/>
          <w:lang w:eastAsia="ru-RU"/>
        </w:rPr>
        <w:instrText>Статус: действующая редакция (действ. с 25.07.2022)"</w:instrText>
      </w:r>
      <w:r w:rsidRPr="00605399">
        <w:rPr>
          <w:rFonts w:ascii="Arial" w:eastAsia="Times New Roman" w:hAnsi="Arial" w:cs="Arial"/>
          <w:sz w:val="20"/>
          <w:szCs w:val="20"/>
          <w:lang w:eastAsia="ru-RU"/>
        </w:rPr>
        <w:fldChar w:fldCharType="separate"/>
      </w:r>
      <w:r w:rsidRPr="00605399">
        <w:rPr>
          <w:rFonts w:ascii="Arial" w:eastAsia="Times New Roman" w:hAnsi="Arial" w:cs="Arial"/>
          <w:color w:val="0000AA"/>
          <w:sz w:val="20"/>
          <w:szCs w:val="20"/>
          <w:u w:val="single"/>
          <w:lang w:eastAsia="ru-RU"/>
        </w:rPr>
        <w:t>Профессиональный риск</w:t>
      </w:r>
      <w:r w:rsidRPr="00605399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 xml:space="preserve"> </w:t>
      </w:r>
      <w:r w:rsidRPr="00605399">
        <w:rPr>
          <w:rFonts w:ascii="Arial" w:eastAsia="Times New Roman" w:hAnsi="Arial" w:cs="Arial"/>
          <w:sz w:val="20"/>
          <w:szCs w:val="20"/>
          <w:lang w:eastAsia="ru-RU"/>
        </w:rPr>
        <w:fldChar w:fldCharType="end"/>
      </w:r>
      <w:r w:rsidRPr="00605399">
        <w:rPr>
          <w:rFonts w:ascii="Arial" w:eastAsia="Times New Roman" w:hAnsi="Arial" w:cs="Arial"/>
          <w:sz w:val="20"/>
          <w:szCs w:val="20"/>
          <w:lang w:eastAsia="ru-RU"/>
        </w:rPr>
        <w:t xml:space="preserve"> - вероятность причинения вреда жизни и (или) здоровью работника в результате воздействия на него вредного и (или) опасного производственного фактора при исполнении им своей трудовой функции с учетом возможной тяжести повреждения здоровья.     </w:t>
      </w:r>
    </w:p>
    <w:p w:rsidR="00605399" w:rsidRPr="00605399" w:rsidRDefault="00605399" w:rsidP="0060539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12"/>
        <w:gridCol w:w="739"/>
        <w:gridCol w:w="5889"/>
      </w:tblGrid>
      <w:tr w:rsidR="00605399" w:rsidRPr="00605399" w:rsidTr="004F2C4D"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5399" w:rsidRPr="00605399" w:rsidRDefault="00605399" w:rsidP="0060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5399" w:rsidRPr="00605399" w:rsidRDefault="00605399" w:rsidP="0060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5399" w:rsidRPr="00605399" w:rsidRDefault="00605399" w:rsidP="0060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</w:p>
        </w:tc>
      </w:tr>
      <w:tr w:rsidR="00605399" w:rsidRPr="00605399" w:rsidTr="004F2C4D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5399" w:rsidRPr="00605399" w:rsidRDefault="00605399" w:rsidP="0060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605399" w:rsidRPr="00605399" w:rsidRDefault="00605399" w:rsidP="0060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605399">
              <w:rPr>
                <w:rFonts w:ascii="Arial" w:eastAsia="Times New Roman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В качестве профессионального риска также рассматриваются </w:t>
            </w:r>
          </w:p>
        </w:tc>
      </w:tr>
      <w:tr w:rsidR="00605399" w:rsidRPr="00605399" w:rsidTr="004F2C4D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5399" w:rsidRPr="00605399" w:rsidRDefault="00605399" w:rsidP="0060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5399" w:rsidRPr="00605399" w:rsidRDefault="00605399" w:rsidP="0060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5399" w:rsidRPr="00605399" w:rsidRDefault="00605399" w:rsidP="0060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05399" w:rsidRPr="00605399" w:rsidTr="004F2C4D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5399" w:rsidRPr="00605399" w:rsidRDefault="00605399" w:rsidP="0060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5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begin"/>
            </w:r>
            <w:r w:rsidRPr="00605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 xml:space="preserve"> HYPERLINK "kodeks://link/d?nd=901713539&amp;point=mark=0000000000000000000000000000000000000000000000000065C0IR"\o"’’Об обязательном социальном страховании от несчастных случаев на производстве и профессиональных заболеваний (с изменениями на 25 февраля 2022 года)’’</w:instrText>
            </w:r>
          </w:p>
          <w:p w:rsidR="00605399" w:rsidRPr="00605399" w:rsidRDefault="00605399" w:rsidP="0060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5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Федеральный закон от 24.07.1998 N 125-ФЗ</w:instrText>
            </w:r>
          </w:p>
          <w:p w:rsidR="00605399" w:rsidRPr="00605399" w:rsidRDefault="00605399" w:rsidP="0060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5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Статус: действующая редакция (действ. с 01.07.2022)"</w:instrText>
            </w:r>
            <w:r w:rsidRPr="00605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separate"/>
            </w:r>
            <w:r w:rsidRPr="00605399">
              <w:rPr>
                <w:rFonts w:ascii="Arial" w:eastAsia="Times New Roman" w:hAnsi="Arial" w:cs="Arial"/>
                <w:color w:val="0000AA"/>
                <w:sz w:val="18"/>
                <w:szCs w:val="18"/>
                <w:u w:val="single"/>
                <w:lang w:eastAsia="ru-RU"/>
              </w:rPr>
              <w:t>Статья 3 Федерального закона от 24.07.98 N 125-ФЗ "Об обязательном социальном страховании от несчастных случаев на производстве и профессиональных заболеваний"</w:t>
            </w:r>
            <w:r w:rsidRPr="00605399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605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end"/>
            </w:r>
            <w:r w:rsidRPr="00605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5399" w:rsidRPr="00605399" w:rsidRDefault="00605399" w:rsidP="0060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  <w:r w:rsidRPr="00605399">
              <w:rPr>
                <w:rFonts w:ascii="Arial, sans-serif" w:eastAsia="Times New Roman" w:hAnsi="Arial, sans-serif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1DC7C571" wp14:editId="13EE37E0">
                  <wp:extent cx="161925" cy="114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5399" w:rsidRPr="00605399" w:rsidRDefault="00605399" w:rsidP="0060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5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Вероятность повреждения (утраты) здоровья или смерти застрахованного, связанная с исполнением им обязанностей по трудовому договору и в иных случаях, установленных </w:t>
            </w:r>
            <w:r w:rsidRPr="00605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begin"/>
            </w:r>
            <w:r w:rsidRPr="00605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 xml:space="preserve"> HYPERLINK "kodeks://link/d?nd=901713539&amp;point=mark=0000000000000000000000000000000000000000000000000064U0IK"\o"’’Об обязательном социальном страховании от несчастных случаев на производстве и профессиональных заболеваний (с изменениями на 25 февраля 2022 года)’’</w:instrText>
            </w:r>
          </w:p>
          <w:p w:rsidR="00605399" w:rsidRPr="00605399" w:rsidRDefault="00605399" w:rsidP="0060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5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Федеральный закон от 24.07.1998 N 125-ФЗ</w:instrText>
            </w:r>
          </w:p>
          <w:p w:rsidR="00605399" w:rsidRPr="00605399" w:rsidRDefault="00605399" w:rsidP="0060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5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Статус: действующая редакция (действ. с 01.07.2022)"</w:instrText>
            </w:r>
            <w:r w:rsidRPr="00605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separate"/>
            </w:r>
            <w:r w:rsidRPr="00605399">
              <w:rPr>
                <w:rFonts w:ascii="Arial" w:eastAsia="Times New Roman" w:hAnsi="Arial" w:cs="Arial"/>
                <w:color w:val="0000AA"/>
                <w:sz w:val="18"/>
                <w:szCs w:val="18"/>
                <w:u w:val="single"/>
                <w:lang w:eastAsia="ru-RU"/>
              </w:rPr>
              <w:t>Законом N 125-ФЗ</w:t>
            </w:r>
            <w:r w:rsidRPr="00605399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605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end"/>
            </w:r>
            <w:r w:rsidRPr="00605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. </w:t>
            </w:r>
          </w:p>
        </w:tc>
      </w:tr>
      <w:tr w:rsidR="00605399" w:rsidRPr="00605399" w:rsidTr="004F2C4D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5399" w:rsidRPr="00605399" w:rsidRDefault="00605399" w:rsidP="0060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5399" w:rsidRPr="00605399" w:rsidRDefault="00605399" w:rsidP="0060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5399" w:rsidRPr="00605399" w:rsidRDefault="00605399" w:rsidP="0060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605399" w:rsidRPr="00605399" w:rsidTr="004F2C4D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5399" w:rsidRPr="00605399" w:rsidRDefault="00605399" w:rsidP="0060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5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begin"/>
            </w:r>
            <w:r w:rsidRPr="00605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 xml:space="preserve"> HYPERLINK "kodeks://link/d?nd=1200125989&amp;point=mark=000000000000000000000000000000000000000000000000007DM0KC"\o"’’ГОСТ 12.0.002-2014 Система стандартов безопасности труда (ССБТ). Термины и определения’’</w:instrText>
            </w:r>
          </w:p>
          <w:p w:rsidR="00605399" w:rsidRPr="00605399" w:rsidRDefault="00605399" w:rsidP="0060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5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(утв. приказом Росстандарта от 19.10.2015 N 1570-ст)</w:instrText>
            </w:r>
          </w:p>
          <w:p w:rsidR="00605399" w:rsidRPr="00605399" w:rsidRDefault="00605399" w:rsidP="0060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5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Применяется с 01.06.2016 взамен ГОСТ 12.0.002-80</w:instrText>
            </w:r>
          </w:p>
          <w:p w:rsidR="00605399" w:rsidRPr="00605399" w:rsidRDefault="00605399" w:rsidP="0060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5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Статус: действующая редакция (действ. с 01.06.2016)"</w:instrText>
            </w:r>
            <w:r w:rsidRPr="00605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separate"/>
            </w:r>
            <w:r w:rsidRPr="00605399">
              <w:rPr>
                <w:rFonts w:ascii="Arial" w:eastAsia="Times New Roman" w:hAnsi="Arial" w:cs="Arial"/>
                <w:color w:val="0000AA"/>
                <w:sz w:val="18"/>
                <w:szCs w:val="18"/>
                <w:u w:val="single"/>
                <w:lang w:eastAsia="ru-RU"/>
              </w:rPr>
              <w:t xml:space="preserve">Пункт 2.2.65 ГОСТ 12.0.002-2014 "Система стандартов безопасности труда (ССБТ). Термины и определения" </w:t>
            </w:r>
            <w:r w:rsidRPr="00605399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605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5399" w:rsidRPr="00605399" w:rsidRDefault="00605399" w:rsidP="0060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  <w:r w:rsidRPr="00605399">
              <w:rPr>
                <w:rFonts w:ascii="Arial, sans-serif" w:eastAsia="Times New Roman" w:hAnsi="Arial, sans-serif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34E24C37" wp14:editId="6892AA87">
                  <wp:extent cx="161925" cy="1143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05399" w:rsidRPr="00605399" w:rsidRDefault="00605399" w:rsidP="00605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0539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Риск утраты трудоспособности или смерти пострадавшего, работавшего по найму в интересах работодателя. </w:t>
            </w:r>
          </w:p>
        </w:tc>
      </w:tr>
    </w:tbl>
    <w:p w:rsidR="00605399" w:rsidRDefault="00605399" w:rsidP="005148C6">
      <w:pPr>
        <w:shd w:val="clear" w:color="auto" w:fill="FFFFFF"/>
        <w:spacing w:after="100" w:line="240" w:lineRule="auto"/>
        <w:jc w:val="center"/>
        <w:rPr>
          <w:rFonts w:ascii="var(--player-main-font)" w:eastAsia="Times New Roman" w:hAnsi="var(--player-main-font)" w:cs="Arial"/>
          <w:b/>
          <w:bCs/>
          <w:color w:val="000000"/>
          <w:sz w:val="36"/>
          <w:szCs w:val="36"/>
          <w:lang w:eastAsia="ru-RU"/>
        </w:rPr>
      </w:pPr>
    </w:p>
    <w:p w:rsidR="00605399" w:rsidRPr="009D2E22" w:rsidRDefault="00605399" w:rsidP="0060539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sz w:val="20"/>
          <w:szCs w:val="20"/>
        </w:rPr>
      </w:pPr>
    </w:p>
    <w:p w:rsidR="00605399" w:rsidRPr="0040176D" w:rsidRDefault="00605399" w:rsidP="005148C6">
      <w:pPr>
        <w:shd w:val="clear" w:color="auto" w:fill="FFFFFF"/>
        <w:spacing w:after="100" w:line="240" w:lineRule="auto"/>
        <w:jc w:val="center"/>
        <w:rPr>
          <w:rFonts w:ascii="var(--player-main-font)" w:eastAsia="Times New Roman" w:hAnsi="var(--player-main-font)" w:cs="Arial"/>
          <w:b/>
          <w:bCs/>
          <w:color w:val="000000"/>
          <w:sz w:val="36"/>
          <w:szCs w:val="36"/>
          <w:lang w:eastAsia="ru-RU"/>
        </w:rPr>
      </w:pPr>
    </w:p>
    <w:p w:rsidR="0040176D" w:rsidRPr="0040176D" w:rsidRDefault="0040176D" w:rsidP="0040176D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5lgeePAMAAEM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="005840A7">
        <w:rPr>
          <w:noProof/>
          <w:lang w:eastAsia="ru-RU"/>
        </w:rPr>
        <mc:AlternateContent>
          <mc:Choice Requires="wps">
            <w:drawing>
              <wp:inline distT="0" distB="0" distL="0" distR="0" wp14:anchorId="133C032C" wp14:editId="5381F5C9">
                <wp:extent cx="304800" cy="304800"/>
                <wp:effectExtent l="0" t="0" r="0" b="0"/>
                <wp:docPr id="6" name="AutoShape 2" descr="https://sdo.vcot.info/pluginfile.php/18065/mod_scorm/content/1/res/data/islru-10069046/ed5a78fc-2f75-11ed-abce-ba2178cd8f9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sdo.vcot.info/pluginfile.php/18065/mod_scorm/content/1/res/data/islru-10069046/ed5a78fc-2f75-11ed-abce-ba2178cd8f98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wBtbHxMDAAA/BgAADgAAAAAAAAAAAAAAAAAuAgAAZHJzL2Uy&#10;b0RvYy54bWxQSwECLQAUAAYACAAAACEATKDpLNgAAAADAQAADwAAAAAAAAAAAAAAAABtBQAAZHJz&#10;L2Rvd25yZXYueG1sUEsFBgAAAAAEAAQA8wAAAHIGAAAAAA==&#10;" filled="f" stroked="f">
                <o:lock v:ext="edit" aspectratio="t"/>
                <w10:anchorlock/>
              </v:rect>
            </w:pict>
          </mc:Fallback>
        </mc:AlternateContent>
      </w:r>
      <w:r w:rsidR="005840A7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57A47E9F">
            <wp:extent cx="6028266" cy="3554975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462" cy="35592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05399" w:rsidRDefault="00605399" w:rsidP="0040176D">
      <w:pPr>
        <w:shd w:val="clear" w:color="auto" w:fill="FFFFFF"/>
        <w:spacing w:before="840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</w:p>
    <w:p w:rsidR="00605399" w:rsidRDefault="00605399" w:rsidP="0040176D">
      <w:pPr>
        <w:shd w:val="clear" w:color="auto" w:fill="FFFFFF"/>
        <w:spacing w:before="840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605399">
        <w:rPr>
          <w:rFonts w:ascii="Arial, sans-serif" w:eastAsia="Times New Roman" w:hAnsi="Arial, sans-serif" w:cs="Times New Roman"/>
          <w:noProof/>
          <w:position w:val="-146"/>
          <w:sz w:val="24"/>
          <w:szCs w:val="24"/>
          <w:lang w:eastAsia="ru-RU"/>
        </w:rPr>
        <w:drawing>
          <wp:inline distT="0" distB="0" distL="0" distR="0" wp14:anchorId="21EB9A29" wp14:editId="6685D575">
            <wp:extent cx="4972050" cy="37147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012"/>
        <w:gridCol w:w="739"/>
        <w:gridCol w:w="5889"/>
      </w:tblGrid>
      <w:tr w:rsidR="00555FF0" w:rsidRPr="00555FF0" w:rsidTr="004F2C4D">
        <w:tc>
          <w:tcPr>
            <w:tcW w:w="301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</w:p>
        </w:tc>
      </w:tr>
      <w:tr w:rsidR="00555FF0" w:rsidRPr="00555FF0" w:rsidTr="004F2C4D">
        <w:tc>
          <w:tcPr>
            <w:tcW w:w="96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B4279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b/>
                <w:bCs/>
                <w:color w:val="2B4279"/>
                <w:sz w:val="18"/>
                <w:szCs w:val="18"/>
                <w:lang w:eastAsia="ru-RU"/>
              </w:rPr>
              <w:t xml:space="preserve"> Терминология </w:t>
            </w:r>
          </w:p>
        </w:tc>
      </w:tr>
      <w:tr w:rsidR="00555FF0" w:rsidRPr="00555FF0" w:rsidTr="004F2C4D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55FF0" w:rsidRPr="00555FF0" w:rsidTr="004F2C4D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begin"/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 xml:space="preserve"> HYPERLINK "kodeks://link/d?nd=1200052851&amp;point=mark=000000000000000000000000000000000000000000000000007D80K5"\o"’’ГОСТ 12.0.230-2007 Система стандартов безопасности труда (ССБТ). Системы управления охраной труда. Общие ...’’</w:instrTex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(утв. приказом Росстандарта от 10.07.2007 N 169-ст)</w:instrTex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Применяется с 01.07.2009 взамен ГОСТ Р 12.0.006-2002</w:instrTex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Статус: действующая редакция"</w:instrText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separate"/>
            </w:r>
            <w:r w:rsidRPr="00555FF0">
              <w:rPr>
                <w:rFonts w:ascii="Arial" w:eastAsia="Times New Roman" w:hAnsi="Arial" w:cs="Arial"/>
                <w:color w:val="0000AA"/>
                <w:sz w:val="18"/>
                <w:szCs w:val="18"/>
                <w:u w:val="single"/>
                <w:lang w:eastAsia="ru-RU"/>
              </w:rPr>
              <w:t>Опасность</w:t>
            </w:r>
            <w:r w:rsidRPr="00555FF0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end"/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  <w:r w:rsidRPr="00555FF0">
              <w:rPr>
                <w:rFonts w:ascii="Arial, sans-serif" w:eastAsia="Times New Roman" w:hAnsi="Arial, sans-serif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15124739" wp14:editId="7943177E">
                  <wp:extent cx="161925" cy="1143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Производственный фактор, способный причинить травму или нанести иной вред здоровью человека. </w:t>
            </w:r>
          </w:p>
        </w:tc>
      </w:tr>
      <w:tr w:rsidR="00555FF0" w:rsidRPr="00555FF0" w:rsidTr="004F2C4D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55FF0" w:rsidRPr="00555FF0" w:rsidTr="004F2C4D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begin"/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 xml:space="preserve"> HYPERLINK "kodeks://link/d?nd=1200160464&amp;point=mark=000000000000000000000000000000000000000000000000007DO0KD"\o"’’ГОСТ 12.0.230.4-2018 Система стандартов безопасности труда (ССБТ). Системы управления охраной труда ...’’</w:instrTex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(утв. приказом Росстандарта от 07.09.2018 N 577-ст)</w:instrTex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Применяется с 01.06.2019</w:instrTex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Статус: действует с 01.06.2019"</w:instrText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separate"/>
            </w:r>
            <w:r w:rsidRPr="00555FF0">
              <w:rPr>
                <w:rFonts w:ascii="Arial" w:eastAsia="Times New Roman" w:hAnsi="Arial" w:cs="Arial"/>
                <w:color w:val="0000AA"/>
                <w:sz w:val="18"/>
                <w:szCs w:val="18"/>
                <w:u w:val="single"/>
                <w:lang w:eastAsia="ru-RU"/>
              </w:rPr>
              <w:t>Идентификация опасностей</w:t>
            </w:r>
            <w:r w:rsidRPr="00555FF0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end"/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1DE9290C" wp14:editId="14D876F9">
                  <wp:extent cx="161925" cy="1143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Процедура обнаружения (выявления и распознавания) и описания опасностей. </w:t>
            </w:r>
          </w:p>
        </w:tc>
      </w:tr>
      <w:tr w:rsidR="00555FF0" w:rsidRPr="00555FF0" w:rsidTr="004F2C4D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55FF0" w:rsidRPr="00555FF0" w:rsidTr="004F2C4D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begin"/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 xml:space="preserve"> HYPERLINK "kodeks://link/d?nd=1200052851&amp;point=mark=000000000000000000000000000000000000000000000000007DC0K7"\o"’’ГОСТ 12.0.230-2007 Система стандартов безопасности труда (ССБТ). Системы управления охраной труда. Общие ...’’</w:instrTex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(утв. приказом Росстандарта от 10.07.2007 N 169-ст)</w:instrTex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Применяется с 01.07.2009 взамен ГОСТ Р 12.0.006-2002</w:instrTex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Статус: действующая редакция"</w:instrText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separate"/>
            </w:r>
            <w:r w:rsidRPr="00555FF0">
              <w:rPr>
                <w:rFonts w:ascii="Arial" w:eastAsia="Times New Roman" w:hAnsi="Arial" w:cs="Arial"/>
                <w:color w:val="0000AA"/>
                <w:sz w:val="18"/>
                <w:szCs w:val="18"/>
                <w:u w:val="single"/>
                <w:lang w:eastAsia="ru-RU"/>
              </w:rPr>
              <w:t>Оценка опасностей</w:t>
            </w:r>
            <w:r w:rsidRPr="00555FF0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end"/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  <w:r w:rsidRPr="00555FF0">
              <w:rPr>
                <w:rFonts w:ascii="Arial, sans-serif" w:eastAsia="Times New Roman" w:hAnsi="Arial, sans-serif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4F58D81E" wp14:editId="1E67D071">
                  <wp:extent cx="161925" cy="1143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Систематическое оценивание опасностей. </w:t>
            </w:r>
          </w:p>
        </w:tc>
      </w:tr>
      <w:tr w:rsidR="00555FF0" w:rsidRPr="00555FF0" w:rsidTr="004F2C4D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55FF0" w:rsidRPr="00555FF0" w:rsidTr="004F2C4D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Оценка риска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 sans-serif" w:eastAsia="Times New Roman" w:hAnsi="Arial, sans-serif" w:cs="Times New Roman"/>
                <w:sz w:val="24"/>
                <w:szCs w:val="24"/>
                <w:lang w:eastAsia="ru-RU"/>
              </w:rPr>
            </w:pPr>
            <w:r w:rsidRPr="00555FF0">
              <w:rPr>
                <w:rFonts w:ascii="Arial, sans-serif" w:eastAsia="Times New Roman" w:hAnsi="Arial, sans-serif" w:cs="Times New Roman"/>
                <w:noProof/>
                <w:position w:val="-4"/>
                <w:sz w:val="24"/>
                <w:szCs w:val="24"/>
                <w:lang w:eastAsia="ru-RU"/>
              </w:rPr>
              <w:drawing>
                <wp:inline distT="0" distB="0" distL="0" distR="0" wp14:anchorId="0FB434DA" wp14:editId="0F5C52B6">
                  <wp:extent cx="161925" cy="1143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1. </w:t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begin"/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 xml:space="preserve"> HYPERLINK "kodeks://link/d?nd=1200052851&amp;point=mark=000000000000000000000000000000000000000000000000007DE0K8"\o"’’ГОСТ 12.0.230-2007 Система стандартов безопасности труда (ССБТ). Системы управления охраной труда. Общие ...’’</w:instrTex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(утв. приказом Росстандарта от 10.07.2007 N 169-ст)</w:instrTex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Применяется с 01.07.2009 взамен ГОСТ Р 12.0.006-2002</w:instrTex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Статус: действующая редакция"</w:instrText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separate"/>
            </w:r>
            <w:r w:rsidRPr="00555FF0">
              <w:rPr>
                <w:rFonts w:ascii="Arial" w:eastAsia="Times New Roman" w:hAnsi="Arial" w:cs="Arial"/>
                <w:color w:val="0000AA"/>
                <w:sz w:val="18"/>
                <w:szCs w:val="18"/>
                <w:u w:val="single"/>
                <w:lang w:eastAsia="ru-RU"/>
              </w:rPr>
              <w:t>Процесс оценивания рисков</w:t>
            </w:r>
            <w:r w:rsidRPr="00555FF0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end"/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вызванных воздействием опасностей на работе, для определения их влияния на безопасность и сохранение здоровья работников.</w: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2. </w:t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begin"/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 xml:space="preserve"> HYPERLINK "kodeks://link/d?nd=1200160465&amp;point=mark=000000000000000000000000000000000000000000000000007DI0KA"\o"’’ГОСТ 12.0.230.5-2018 Система стандартов безопасности труда (ССБТ). Системы управления охраной труда ...’’</w:instrTex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(утв. приказом Росстандарта от 07.09.2018 N 578-ст)</w:instrTex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Применяется с 01.06.2019</w:instrTex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Статус: действует с 01.06.2019"</w:instrText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separate"/>
            </w:r>
            <w:r w:rsidRPr="00555FF0">
              <w:rPr>
                <w:rFonts w:ascii="Arial" w:eastAsia="Times New Roman" w:hAnsi="Arial" w:cs="Arial"/>
                <w:color w:val="0000AA"/>
                <w:sz w:val="18"/>
                <w:szCs w:val="18"/>
                <w:u w:val="single"/>
                <w:lang w:eastAsia="ru-RU"/>
              </w:rPr>
              <w:t>Определение степени риска</w:t>
            </w:r>
            <w:r w:rsidRPr="00555FF0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end"/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заключающееся в присвоении риску того или иного ранга шкалы порядка, балльного или вербального. </w:t>
            </w:r>
          </w:p>
        </w:tc>
      </w:tr>
      <w:tr w:rsidR="00555FF0" w:rsidRPr="00555FF0" w:rsidTr="004F2C4D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55FF0" w:rsidRPr="00555FF0" w:rsidTr="004F2C4D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begin"/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 xml:space="preserve"> HYPERLINK "kodeks://link/d?nd=1200160465&amp;point=mark=000000000000000000000000000000000000000000000000007DE0K7"\o"’’ГОСТ 12.0.230.5-2018 Система стандартов безопасности труда (ССБТ). Системы управления охраной труда ...’’</w:instrTex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(утв. приказом Росстандарта от 07.09.2018 N 578-ст)</w:instrTex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Применяется с 01.06.2019</w:instrTex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Статус: действует с 01.06.2019"</w:instrText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separate"/>
            </w:r>
            <w:r w:rsidRPr="00555FF0">
              <w:rPr>
                <w:rFonts w:ascii="Arial" w:eastAsia="Times New Roman" w:hAnsi="Arial" w:cs="Arial"/>
                <w:color w:val="0000AA"/>
                <w:sz w:val="18"/>
                <w:szCs w:val="18"/>
                <w:u w:val="single"/>
                <w:lang w:eastAsia="ru-RU"/>
              </w:rPr>
              <w:t>Пренебрежимо малая степень риска</w:t>
            </w:r>
            <w:r w:rsidRPr="00555FF0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end"/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63DDB67B" wp14:editId="4BAE6686">
                  <wp:extent cx="161925" cy="1143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Степень риска, наличием которого можно пренебречь и, не предпринимая никаких специальных мер обеспечения безопасности, допустить персонал к выполнению работ, производимых в рамках общих мер безопасного поведения и безопасных приемов труда, практически без использования специально предусмотренных мер и средств обеспечения безопасности. </w:t>
            </w:r>
          </w:p>
        </w:tc>
      </w:tr>
      <w:tr w:rsidR="00555FF0" w:rsidRPr="00555FF0" w:rsidTr="004F2C4D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55FF0" w:rsidRPr="00555FF0" w:rsidTr="004F2C4D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begin"/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 xml:space="preserve"> HYPERLINK "kodeks://link/d?nd=1200160465&amp;point=mark=000000000000000000000000000000000000000000000000007DG0K8"\o"’’ГОСТ 12.0.230.5-2018 Система стандартов безопасности труда (ССБТ). Системы управления охраной труда ...’’</w:instrTex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(утв. приказом Росстандарта от 07.09.2018 N 578-ст)</w:instrTex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Применяется с 01.06.2019</w:instrTex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Статус: действует с 01.06.2019"</w:instrText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separate"/>
            </w:r>
            <w:r w:rsidRPr="00555FF0">
              <w:rPr>
                <w:rFonts w:ascii="Arial" w:eastAsia="Times New Roman" w:hAnsi="Arial" w:cs="Arial"/>
                <w:color w:val="0000AA"/>
                <w:sz w:val="18"/>
                <w:szCs w:val="18"/>
                <w:u w:val="single"/>
                <w:lang w:eastAsia="ru-RU"/>
              </w:rPr>
              <w:t>Допустимая степень риска (допустимый риск)</w:t>
            </w:r>
            <w:r w:rsidRPr="00555FF0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end"/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7C9FF459" wp14:editId="1F6DFA16">
                  <wp:extent cx="161925" cy="1143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Степень риска, при котором организация может допустить работающих к выполнению работ, но только при строгом соблюдении установленных регламентов выполнения работ и использования регламентированных мер и средств безопасности. </w:t>
            </w:r>
          </w:p>
        </w:tc>
      </w:tr>
      <w:tr w:rsidR="00555FF0" w:rsidRPr="00555FF0" w:rsidTr="004F2C4D">
        <w:tc>
          <w:tcPr>
            <w:tcW w:w="30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55FF0" w:rsidRPr="00555FF0" w:rsidTr="004F2C4D"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begin"/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 xml:space="preserve"> HYPERLINK "kodeks://link/d?nd=1200160465&amp;point=mark=000000000000000000000000000000000000000000000000007DI0K9"\o"’’ГОСТ 12.0.230.5-2018 Система стандартов безопасности труда (ССБТ). Системы управления охраной труда ...’’</w:instrTex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(утв. приказом Росстандарта от 07.09.2018 N 578-ст)</w:instrTex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Применяется с 01.06.2019</w:instrText>
            </w:r>
          </w:p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instrText>Статус: действует с 01.06.2019"</w:instrText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separate"/>
            </w:r>
            <w:r w:rsidRPr="00555FF0">
              <w:rPr>
                <w:rFonts w:ascii="Arial" w:eastAsia="Times New Roman" w:hAnsi="Arial" w:cs="Arial"/>
                <w:color w:val="0000AA"/>
                <w:sz w:val="18"/>
                <w:szCs w:val="18"/>
                <w:u w:val="single"/>
                <w:lang w:eastAsia="ru-RU"/>
              </w:rPr>
              <w:t>Недопустимая степень риска (недопустимый риск)</w:t>
            </w:r>
            <w:r w:rsidRPr="00555FF0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eastAsia="ru-RU"/>
              </w:rPr>
              <w:t xml:space="preserve"> </w:t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fldChar w:fldCharType="end"/>
            </w: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noProof/>
                <w:position w:val="-4"/>
                <w:sz w:val="18"/>
                <w:szCs w:val="18"/>
                <w:lang w:eastAsia="ru-RU"/>
              </w:rPr>
              <w:drawing>
                <wp:inline distT="0" distB="0" distL="0" distR="0" wp14:anchorId="591FEC4B" wp14:editId="38B8CBF8">
                  <wp:extent cx="161925" cy="1143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55FF0" w:rsidRPr="00555FF0" w:rsidRDefault="00555FF0" w:rsidP="00555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55FF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Степень высокого социально значимого риска, при котором организация не может допустить персонал к выполнению работ при применяемых регламентах выполнения работ, регламентированных мер и средств безопасности из-за возможности серьезного происшествия. </w:t>
            </w:r>
          </w:p>
        </w:tc>
      </w:tr>
    </w:tbl>
    <w:p w:rsidR="0040176D" w:rsidRPr="0040176D" w:rsidRDefault="0040176D" w:rsidP="0040176D">
      <w:pPr>
        <w:shd w:val="clear" w:color="auto" w:fill="FFFFFF"/>
        <w:spacing w:before="840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Оценка рисков проводится на каждом рабочем месте во всех рабочих зонах с учетом всех выполняемых видов работ, а также, в случае необходимости, обобщается для группы рабочих мест, структурного подразделения, конкретного производственного процесса, вида работ и т.д. (групповые риски).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b/>
          <w:bCs/>
          <w:color w:val="E73018"/>
          <w:spacing w:val="-3"/>
          <w:sz w:val="27"/>
          <w:szCs w:val="27"/>
          <w:lang w:eastAsia="ru-RU"/>
        </w:rPr>
        <w:t>1 этап - идентификация опасностей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b/>
          <w:bCs/>
          <w:color w:val="000000"/>
          <w:spacing w:val="-3"/>
          <w:sz w:val="27"/>
          <w:szCs w:val="27"/>
          <w:lang w:eastAsia="ru-RU"/>
        </w:rPr>
        <w:lastRenderedPageBreak/>
        <w:t>Идентификация опасностей</w:t>
      </w: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 - это процесс выявления на каждом рабочем месте опасностей (в том числе, их комбинаций), при которых может быть нанесен ущерб жизни и здоровью работника.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proofErr w:type="gramStart"/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В качестве опасностей рассматривают: механические, электрические, термические, опасности, связанные с воздействием факторов производственной среды и трудового процесса, опасности расположения рабочего места, опасности, связанные с организационными недостатками, с применением средств индивидуальной защиты (СИЗ), опасности, вызванные пожаром, взрывом,</w:t>
      </w:r>
      <w:proofErr w:type="gramEnd"/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 обрушением и т.д.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Все выявленные опасности должны быть подробно и понятно описаны.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Чем больше конкретизации, тем достовернее дальнейшая оценка рисков.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u w:val="single"/>
          <w:lang w:eastAsia="ru-RU"/>
        </w:rPr>
        <w:t>Для определения источников опасностей следует учитывать</w:t>
      </w: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:</w:t>
      </w:r>
    </w:p>
    <w:p w:rsidR="0040176D" w:rsidRPr="0040176D" w:rsidRDefault="0040176D" w:rsidP="0040176D">
      <w:pPr>
        <w:numPr>
          <w:ilvl w:val="0"/>
          <w:numId w:val="1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обычные (повседневные) и редкие (разовые) работы, аварийные ситуации;</w:t>
      </w:r>
    </w:p>
    <w:p w:rsidR="0040176D" w:rsidRPr="0040176D" w:rsidRDefault="0040176D" w:rsidP="004017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наличие опасных производственных объектов организации, видов работ с повышенной опасностью;</w:t>
      </w:r>
    </w:p>
    <w:p w:rsidR="0040176D" w:rsidRPr="0040176D" w:rsidRDefault="0040176D" w:rsidP="004017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деятельность и компетентность всех работников и лиц, имеющих доступ к месту выполнения работ (подрядчиков, командированных лиц, посетителей);</w:t>
      </w:r>
    </w:p>
    <w:p w:rsidR="0040176D" w:rsidRPr="0040176D" w:rsidRDefault="0040176D" w:rsidP="004017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инфраструктуру, процессы, расположение рабочих мест и рабочих зон, оборудование, приспособления, материалы и сырье (предоставленных самим работодателем или другими сторонами);</w:t>
      </w:r>
    </w:p>
    <w:p w:rsidR="0040176D" w:rsidRPr="0040176D" w:rsidRDefault="0040176D" w:rsidP="004017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человеческий фактор (связанный с личными целями, способностями, намерениями и восприятиями работников, их поведением, социально-экономическим положением, этнической принадлежностью и культурой и т.д.);</w:t>
      </w:r>
    </w:p>
    <w:p w:rsidR="0040176D" w:rsidRPr="0040176D" w:rsidRDefault="0040176D" w:rsidP="004017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опасности, источники которых не связаны с местом выполнения работ, но которые способны неблагоприятно повлиять на состояние здоровья и безопасность работников;</w:t>
      </w:r>
    </w:p>
    <w:p w:rsidR="0040176D" w:rsidRPr="0040176D" w:rsidRDefault="0040176D" w:rsidP="004017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изменения или предполагаемые изменения в организации, ее деятельности или материалах;</w:t>
      </w:r>
    </w:p>
    <w:p w:rsidR="0040176D" w:rsidRPr="0040176D" w:rsidRDefault="0040176D" w:rsidP="004017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изменения в системе управления охраной труда, в </w:t>
      </w:r>
      <w:proofErr w:type="spellStart"/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т.ч</w:t>
      </w:r>
      <w:proofErr w:type="spellEnd"/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. временные, и их влияние на операции, процессы и деятельность;</w:t>
      </w:r>
    </w:p>
    <w:p w:rsidR="0040176D" w:rsidRPr="0040176D" w:rsidRDefault="0040176D" w:rsidP="0040176D">
      <w:pPr>
        <w:numPr>
          <w:ilvl w:val="0"/>
          <w:numId w:val="1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применимые нормативные правовые акты, относящиеся к оценке рисков.</w:t>
      </w:r>
    </w:p>
    <w:p w:rsidR="0040176D" w:rsidRPr="0040176D" w:rsidRDefault="0040176D" w:rsidP="0040176D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lastRenderedPageBreak/>
        <w:t>В качестве исходных данных для идентификации опасностей, как и всей оценки рисков, могут применяться следующие имеющиеся в организации и полученные от других сторон (например, подрядчиков) документы и информация:</w:t>
      </w:r>
    </w:p>
    <w:p w:rsidR="0040176D" w:rsidRPr="0040176D" w:rsidRDefault="0040176D" w:rsidP="0040176D">
      <w:pPr>
        <w:numPr>
          <w:ilvl w:val="0"/>
          <w:numId w:val="2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результаты специальной оценки условий труда, производственного контроля, государственного санитарно-эпидемиологического надзора,</w:t>
      </w:r>
    </w:p>
    <w:p w:rsidR="0040176D" w:rsidRPr="0040176D" w:rsidRDefault="0040176D" w:rsidP="0040176D">
      <w:pPr>
        <w:numPr>
          <w:ilvl w:val="0"/>
          <w:numId w:val="2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материалы расследований аварий, несчастных случаев на производстве и профессиональных заболеваний,</w:t>
      </w:r>
    </w:p>
    <w:p w:rsidR="0040176D" w:rsidRPr="0040176D" w:rsidRDefault="0040176D" w:rsidP="0040176D">
      <w:pPr>
        <w:numPr>
          <w:ilvl w:val="0"/>
          <w:numId w:val="2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результаты внутреннего </w:t>
      </w:r>
      <w:proofErr w:type="gramStart"/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контроля за</w:t>
      </w:r>
      <w:proofErr w:type="gramEnd"/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 состоянием условий и охраны труда,</w:t>
      </w:r>
    </w:p>
    <w:p w:rsidR="0040176D" w:rsidRPr="0040176D" w:rsidRDefault="0040176D" w:rsidP="0040176D">
      <w:pPr>
        <w:numPr>
          <w:ilvl w:val="0"/>
          <w:numId w:val="2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результаты периодических медицинских осмотров,</w:t>
      </w:r>
    </w:p>
    <w:p w:rsidR="0040176D" w:rsidRPr="0040176D" w:rsidRDefault="0040176D" w:rsidP="0040176D">
      <w:pPr>
        <w:numPr>
          <w:ilvl w:val="0"/>
          <w:numId w:val="2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сведения о техническом состоянии зданий и сооружений, производственных участков,</w:t>
      </w:r>
    </w:p>
    <w:p w:rsidR="0040176D" w:rsidRPr="0040176D" w:rsidRDefault="0040176D" w:rsidP="0040176D">
      <w:pPr>
        <w:numPr>
          <w:ilvl w:val="0"/>
          <w:numId w:val="2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сведения о техническом состоянии и обслуживании оборудования,</w:t>
      </w:r>
    </w:p>
    <w:p w:rsidR="0040176D" w:rsidRPr="0040176D" w:rsidRDefault="0040176D" w:rsidP="0040176D">
      <w:pPr>
        <w:numPr>
          <w:ilvl w:val="0"/>
          <w:numId w:val="2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техническая документация на оборудование, инструменты и приспособления,</w:t>
      </w:r>
    </w:p>
    <w:p w:rsidR="0040176D" w:rsidRPr="0040176D" w:rsidRDefault="0040176D" w:rsidP="0040176D">
      <w:pPr>
        <w:numPr>
          <w:ilvl w:val="0"/>
          <w:numId w:val="2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техническая документация (технологические регламенты) на производственные процессы,</w:t>
      </w:r>
    </w:p>
    <w:p w:rsidR="0040176D" w:rsidRPr="0040176D" w:rsidRDefault="0040176D" w:rsidP="0040176D">
      <w:pPr>
        <w:numPr>
          <w:ilvl w:val="0"/>
          <w:numId w:val="2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рабочие и должностные инструкции, инструкции по охране труда и другие локальные акты работодателя,</w:t>
      </w:r>
    </w:p>
    <w:p w:rsidR="0040176D" w:rsidRPr="0040176D" w:rsidRDefault="0040176D" w:rsidP="0040176D">
      <w:pPr>
        <w:numPr>
          <w:ilvl w:val="0"/>
          <w:numId w:val="2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статистические данные, научные исследования, методические рекомендации,</w:t>
      </w:r>
    </w:p>
    <w:p w:rsidR="0040176D" w:rsidRPr="0040176D" w:rsidRDefault="0040176D" w:rsidP="0040176D">
      <w:pPr>
        <w:numPr>
          <w:ilvl w:val="0"/>
          <w:numId w:val="2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опросы работников,</w:t>
      </w:r>
    </w:p>
    <w:p w:rsidR="0040176D" w:rsidRPr="0040176D" w:rsidRDefault="0040176D" w:rsidP="0040176D">
      <w:pPr>
        <w:numPr>
          <w:ilvl w:val="0"/>
          <w:numId w:val="2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требования нормативных правовых актов.</w:t>
      </w:r>
    </w:p>
    <w:p w:rsidR="0040176D" w:rsidRPr="0040176D" w:rsidRDefault="0040176D" w:rsidP="0040176D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По результатам идентификации для каждого рабочего места составляется перечень всех имеющихся на нем опасностей, в том числе тех, которые могут возникнуть при стечении определенных обстоятельств или в случае нештатной ситуации.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b/>
          <w:bCs/>
          <w:color w:val="003DAE"/>
          <w:spacing w:val="-3"/>
          <w:sz w:val="27"/>
          <w:szCs w:val="27"/>
          <w:lang w:eastAsia="ru-RU"/>
        </w:rPr>
        <w:t>2 этап - анализ рисков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Анализ рисков - это процесс определения уровня риска, его допустимости и необходимости принятия мер безопасности.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b/>
          <w:bCs/>
          <w:color w:val="000000"/>
          <w:spacing w:val="-3"/>
          <w:sz w:val="27"/>
          <w:szCs w:val="27"/>
          <w:lang w:eastAsia="ru-RU"/>
        </w:rPr>
        <w:t xml:space="preserve">2.1. Определение уровня риска. </w:t>
      </w: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На этом этапе проводится анализ вероятности возникновения идентифицированных опасностей и анализ последствий идентифицированных опасностей.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lastRenderedPageBreak/>
        <w:t>Анализ вероятности подразумевает определение:</w:t>
      </w:r>
    </w:p>
    <w:p w:rsidR="0040176D" w:rsidRPr="0040176D" w:rsidRDefault="0040176D" w:rsidP="0040176D">
      <w:pPr>
        <w:numPr>
          <w:ilvl w:val="0"/>
          <w:numId w:val="3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возможности наступления опасности и непосредственно самого ущерба жизни и здоровью работника (невозможно, вероятно или точно наступит), </w:t>
      </w:r>
    </w:p>
    <w:p w:rsidR="0040176D" w:rsidRPr="0040176D" w:rsidRDefault="0040176D" w:rsidP="0040176D">
      <w:pPr>
        <w:numPr>
          <w:ilvl w:val="0"/>
          <w:numId w:val="3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степени подверженности работника опасности в зависимости от частоты выполнения работ, при которых может наступить опасность (редко, иногда или постоянно).</w:t>
      </w:r>
    </w:p>
    <w:p w:rsidR="0040176D" w:rsidRPr="0040176D" w:rsidRDefault="0040176D" w:rsidP="0040176D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Возможность наступления опасности или ущерба жизни и здоровью работника определяют с учетом наличия и эффективности применяемых мер безопасности. Анализ последствий подразумевает определение:</w:t>
      </w:r>
    </w:p>
    <w:p w:rsidR="0040176D" w:rsidRPr="0040176D" w:rsidRDefault="0040176D" w:rsidP="0040176D">
      <w:pPr>
        <w:numPr>
          <w:ilvl w:val="0"/>
          <w:numId w:val="4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характера возможного причинения вреда жизни и здоровью работников при наступлении опасности (травма или профессиональное заболевание),</w:t>
      </w:r>
    </w:p>
    <w:p w:rsidR="0040176D" w:rsidRPr="0040176D" w:rsidRDefault="0040176D" w:rsidP="0040176D">
      <w:pPr>
        <w:numPr>
          <w:ilvl w:val="0"/>
          <w:numId w:val="4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степени тяжести вреда (временная нетрудоспособность, стойкая утрата трудоспособности или смерть в результате травмы или профессионального заболевания),</w:t>
      </w:r>
    </w:p>
    <w:p w:rsidR="0040176D" w:rsidRPr="0040176D" w:rsidRDefault="0040176D" w:rsidP="0040176D">
      <w:pPr>
        <w:numPr>
          <w:ilvl w:val="0"/>
          <w:numId w:val="4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возможного количества пострадавших сторон (одиночные или групповые несчастные случаи и случаи профессиональных профзаболеваний).</w:t>
      </w:r>
    </w:p>
    <w:p w:rsidR="0040176D" w:rsidRPr="0040176D" w:rsidRDefault="0040176D" w:rsidP="0040176D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При анализе последствий следует учитывать наихудший потенциально возможный результат воздействия опасности с предположением, что меры безопасности не применяются или не сработают.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При анализе вероятности и последствий необходимо учитывать неопределенность риска, которая может быть связана с неопределенностями исходных параметров и предположений (например, с человеческим фактором, разъездным характером работы) и возможными изменениями условий и параметров (например, нештатными, аварийными ситуациями).</w:t>
      </w:r>
    </w:p>
    <w:p w:rsidR="0040176D" w:rsidRPr="0040176D" w:rsidRDefault="0040176D" w:rsidP="0040176D">
      <w:pPr>
        <w:shd w:val="clear" w:color="auto" w:fill="FFFFFF"/>
        <w:spacing w:after="0" w:line="240" w:lineRule="auto"/>
        <w:rPr>
          <w:rFonts w:ascii="var(--content-font)" w:eastAsia="Times New Roman" w:hAnsi="var(--content-font)" w:cs="Arial"/>
          <w:i/>
          <w:iCs/>
          <w:color w:val="000000"/>
          <w:spacing w:val="-2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b/>
          <w:bCs/>
          <w:color w:val="003DAE"/>
          <w:spacing w:val="-2"/>
          <w:sz w:val="27"/>
          <w:szCs w:val="27"/>
          <w:lang w:eastAsia="ru-RU"/>
        </w:rPr>
        <w:t>Результатом анализа рисков является количественное и (или) качественное выражение уровня каждого риска.</w:t>
      </w:r>
    </w:p>
    <w:p w:rsidR="0040176D" w:rsidRPr="0040176D" w:rsidRDefault="0040176D" w:rsidP="0040176D">
      <w:pPr>
        <w:shd w:val="clear" w:color="auto" w:fill="FFFFFF"/>
        <w:spacing w:before="67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Эти данные используют для определения срочности принятия мер обеспечения безопасности, так как высокие уровни рисков необходимо первыми подвергать дальнейшему анализу, а низкие - в последнюю очередь.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b/>
          <w:bCs/>
          <w:color w:val="000000"/>
          <w:spacing w:val="-3"/>
          <w:sz w:val="27"/>
          <w:szCs w:val="27"/>
          <w:lang w:eastAsia="ru-RU"/>
        </w:rPr>
        <w:t>По уровням риски можно разделить на 3 основные типа:</w:t>
      </w:r>
    </w:p>
    <w:p w:rsidR="0040176D" w:rsidRPr="0040176D" w:rsidRDefault="0040176D" w:rsidP="0040176D">
      <w:pPr>
        <w:numPr>
          <w:ilvl w:val="0"/>
          <w:numId w:val="5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b/>
          <w:bCs/>
          <w:color w:val="000000"/>
          <w:spacing w:val="-3"/>
          <w:sz w:val="27"/>
          <w:szCs w:val="27"/>
          <w:lang w:eastAsia="ru-RU"/>
        </w:rPr>
        <w:lastRenderedPageBreak/>
        <w:t>однозначно высокий уровень:</w:t>
      </w: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 высокая вероятность возникновения опасности в сочетании с высокой тяжестью последствий;</w:t>
      </w:r>
    </w:p>
    <w:p w:rsidR="0040176D" w:rsidRPr="0040176D" w:rsidRDefault="0040176D" w:rsidP="0040176D">
      <w:pPr>
        <w:numPr>
          <w:ilvl w:val="0"/>
          <w:numId w:val="5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b/>
          <w:bCs/>
          <w:color w:val="000000"/>
          <w:spacing w:val="-3"/>
          <w:sz w:val="27"/>
          <w:szCs w:val="27"/>
          <w:lang w:eastAsia="ru-RU"/>
        </w:rPr>
        <w:t>однозначно низкий уровень:</w:t>
      </w: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 низкая вероятность возникновения опасности в сочетании с низкой тяжестью последствий;</w:t>
      </w:r>
    </w:p>
    <w:p w:rsidR="0040176D" w:rsidRPr="0040176D" w:rsidRDefault="0040176D" w:rsidP="0040176D">
      <w:pPr>
        <w:numPr>
          <w:ilvl w:val="0"/>
          <w:numId w:val="5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b/>
          <w:bCs/>
          <w:color w:val="000000"/>
          <w:spacing w:val="-3"/>
          <w:sz w:val="27"/>
          <w:szCs w:val="27"/>
          <w:lang w:eastAsia="ru-RU"/>
        </w:rPr>
        <w:t>средний уровень:</w:t>
      </w: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 высокая вероятность возникновения опасности в сочетании с невысокой тяжестью последствий или низкая, но отличная от нуля, вероятность возникновения опасности в сочетании с очень высокой тяжестью последствий.</w:t>
      </w:r>
    </w:p>
    <w:p w:rsidR="0040176D" w:rsidRPr="0040176D" w:rsidRDefault="0040176D" w:rsidP="0040176D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Этот уровень может быть разделен на </w:t>
      </w:r>
      <w:proofErr w:type="gramStart"/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промежуточные</w:t>
      </w:r>
      <w:proofErr w:type="gramEnd"/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. И именно их установление является самым затруднительным по причине отсутствия регистрации и учета незначительных травм или крайней редкости и уникальности возникновения опасностей.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По результатам определения уровней рисков составляется карта оценки рисков, в которой указываются степень вероятности и степень последствий наступления каждой опасности, как правило, в </w:t>
      </w:r>
      <w:proofErr w:type="gramStart"/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количественном</w:t>
      </w:r>
      <w:proofErr w:type="gramEnd"/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 (в баллах) и в качественном (описание характеристики) выражениях.</w:t>
      </w:r>
    </w:p>
    <w:p w:rsidR="0040176D" w:rsidRDefault="0040176D" w:rsidP="0040176D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28DVpPAMAAEM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</w:p>
    <w:p w:rsidR="005840A7" w:rsidRDefault="005840A7" w:rsidP="0040176D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10A68032" wp14:editId="5E90AB32">
            <wp:extent cx="5892800" cy="2629456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815" cy="2629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176D" w:rsidRPr="0040176D" w:rsidRDefault="0040176D" w:rsidP="0040176D">
      <w:pPr>
        <w:shd w:val="clear" w:color="auto" w:fill="FFFFFF"/>
        <w:spacing w:before="840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b/>
          <w:bCs/>
          <w:color w:val="000000"/>
          <w:spacing w:val="-3"/>
          <w:sz w:val="27"/>
          <w:szCs w:val="27"/>
          <w:lang w:eastAsia="ru-RU"/>
        </w:rPr>
        <w:t>2.2. Определение допустимости уровня рисков и необходимости принятия мер безопасности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proofErr w:type="gramStart"/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На этом этапе определяется, является ли оцененный уровень риска допустимым для организации, при которой принятие каких-либо дополнительных мер обеспечения безопасности, кроме уже применяемых, не требуется, или недопустимым, когда обязательно необходимы дополнительные меры по управлению данным риском.</w:t>
      </w:r>
      <w:proofErr w:type="gramEnd"/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lastRenderedPageBreak/>
        <w:t xml:space="preserve">Допустимость степени риска определяется организацией с учетом установленных ею мер безопасности и требований национального законодательства. 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b/>
          <w:bCs/>
          <w:color w:val="000000"/>
          <w:spacing w:val="-3"/>
          <w:sz w:val="27"/>
          <w:szCs w:val="27"/>
          <w:lang w:eastAsia="ru-RU"/>
        </w:rPr>
        <w:t>2.3. Выбор методов управления рисками и их реализация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В зависимости от того, является риск допустимым для организации или нет, выбирается тот или иной способ управления риском.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В целом методы управления рисками можно разделить на 4 группы:</w:t>
      </w:r>
    </w:p>
    <w:p w:rsidR="0040176D" w:rsidRPr="0040176D" w:rsidRDefault="0040176D" w:rsidP="0040176D">
      <w:pPr>
        <w:numPr>
          <w:ilvl w:val="0"/>
          <w:numId w:val="6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b/>
          <w:bCs/>
          <w:color w:val="000000"/>
          <w:spacing w:val="-3"/>
          <w:sz w:val="27"/>
          <w:szCs w:val="27"/>
          <w:lang w:eastAsia="ru-RU"/>
        </w:rPr>
        <w:t xml:space="preserve">Отказ от риска </w:t>
      </w: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- устранение источника и причины опасности, исключение опасной работы:</w:t>
      </w:r>
    </w:p>
    <w:p w:rsidR="0040176D" w:rsidRPr="0040176D" w:rsidRDefault="0040176D" w:rsidP="0040176D">
      <w:pPr>
        <w:numPr>
          <w:ilvl w:val="0"/>
          <w:numId w:val="7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изменение (совершенствование) технологического процесса </w:t>
      </w:r>
      <w:proofErr w:type="gramStart"/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до</w:t>
      </w:r>
      <w:proofErr w:type="gramEnd"/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 полностью безопасного, </w:t>
      </w:r>
    </w:p>
    <w:p w:rsidR="0040176D" w:rsidRPr="0040176D" w:rsidRDefault="0040176D" w:rsidP="0040176D">
      <w:pPr>
        <w:numPr>
          <w:ilvl w:val="0"/>
          <w:numId w:val="7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полная модернизация оборудования.</w:t>
      </w:r>
    </w:p>
    <w:p w:rsidR="0040176D" w:rsidRPr="0040176D" w:rsidRDefault="0040176D" w:rsidP="0040176D">
      <w:pPr>
        <w:numPr>
          <w:ilvl w:val="0"/>
          <w:numId w:val="8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b/>
          <w:bCs/>
          <w:color w:val="000000"/>
          <w:spacing w:val="-3"/>
          <w:sz w:val="27"/>
          <w:szCs w:val="27"/>
          <w:lang w:eastAsia="ru-RU"/>
        </w:rPr>
        <w:t>Снижение риска</w:t>
      </w: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 - снижение вероятности и (или) последствий наступления опасностей (Приказ Министерства труда и социальной защиты РФ от 29 октября 2021 г.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уровней»).</w:t>
      </w:r>
    </w:p>
    <w:p w:rsidR="0040176D" w:rsidRPr="0040176D" w:rsidRDefault="0040176D" w:rsidP="0040176D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При выборе мер по снижению рисков следует в первую очередь отдать предпочтение:</w:t>
      </w:r>
    </w:p>
    <w:p w:rsidR="0040176D" w:rsidRPr="0040176D" w:rsidRDefault="0040176D" w:rsidP="0040176D">
      <w:pPr>
        <w:numPr>
          <w:ilvl w:val="0"/>
          <w:numId w:val="9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модернизации оборудования, технологического процесса, обеспечивающей снижение уровней опасностей, а также </w:t>
      </w:r>
      <w:proofErr w:type="spellStart"/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сигнализирование</w:t>
      </w:r>
      <w:proofErr w:type="spellEnd"/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 о нарушении нормального функционирования оборудования и аварийную остановку,</w:t>
      </w:r>
    </w:p>
    <w:p w:rsidR="0040176D" w:rsidRPr="0040176D" w:rsidRDefault="0040176D" w:rsidP="0040176D">
      <w:pPr>
        <w:numPr>
          <w:ilvl w:val="0"/>
          <w:numId w:val="9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ограничению и изолированию источника опасности путем использования средств коллективной защиты, внедрения систем дистанционного управления оборудованием и технологическими процессами, перепланировки рабочих мест.</w:t>
      </w:r>
    </w:p>
    <w:p w:rsidR="0040176D" w:rsidRPr="0040176D" w:rsidRDefault="0040176D" w:rsidP="0040176D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Если невозможно реализовать указанные меры, ограничивают время воздействия опасностей на работников, предоставляют </w:t>
      </w:r>
      <w:proofErr w:type="gramStart"/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СИЗ</w:t>
      </w:r>
      <w:proofErr w:type="gramEnd"/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 и т.д.</w:t>
      </w:r>
    </w:p>
    <w:p w:rsidR="0040176D" w:rsidRPr="0040176D" w:rsidRDefault="0040176D" w:rsidP="0040176D">
      <w:pPr>
        <w:numPr>
          <w:ilvl w:val="0"/>
          <w:numId w:val="10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b/>
          <w:bCs/>
          <w:color w:val="000000"/>
          <w:spacing w:val="-3"/>
          <w:sz w:val="27"/>
          <w:szCs w:val="27"/>
          <w:lang w:eastAsia="ru-RU"/>
        </w:rPr>
        <w:lastRenderedPageBreak/>
        <w:t xml:space="preserve">Передача риска на аутсорсинг </w:t>
      </w: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- передача отдельных функций, видов работ другим организациям по договору оказания услуг, в котором указываются </w:t>
      </w:r>
      <w:proofErr w:type="gramStart"/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обязанность</w:t>
      </w:r>
      <w:proofErr w:type="gramEnd"/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 и ответственность нанимаемой стороны в части выполнения мероприятий по обеспечению безопасных условий труда. Примером могут служить строительные работы, транспортная деятельность, курьерские услуги и т.д.</w:t>
      </w:r>
    </w:p>
    <w:p w:rsidR="0040176D" w:rsidRPr="0040176D" w:rsidRDefault="0040176D" w:rsidP="0040176D">
      <w:pPr>
        <w:numPr>
          <w:ilvl w:val="0"/>
          <w:numId w:val="10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b/>
          <w:bCs/>
          <w:color w:val="000000"/>
          <w:spacing w:val="-3"/>
          <w:sz w:val="27"/>
          <w:szCs w:val="27"/>
          <w:lang w:eastAsia="ru-RU"/>
        </w:rPr>
        <w:t>Сохранение риска</w:t>
      </w: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 - мониторинг риска без активного воздействия на него в случаях, когда риск является пренебрежимо малым или воздействие на него невозможно.</w:t>
      </w:r>
    </w:p>
    <w:p w:rsidR="0040176D" w:rsidRPr="0040176D" w:rsidRDefault="0040176D" w:rsidP="0040176D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Экономическую заинтересованность работодателей в снижении рисков обеспечивает обязательное социальное страхование от несчастных случаев на производстве и профессиональных заболеваний (Федеральный закон от 24.07.1998 № 125-ФЗ «Об обязательном социальном страховании от несчастных случаев на производстве и профессиональных заболеваний»).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По результатам анализа рисков составляется перечень ранжированных по уровню рисков на каждом рабочем месте и в целом в организации с указанием допустимости рисков, необходимости принятия мер и их описанием.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b/>
          <w:bCs/>
          <w:color w:val="3CB46E"/>
          <w:spacing w:val="-3"/>
          <w:sz w:val="27"/>
          <w:szCs w:val="27"/>
          <w:lang w:eastAsia="ru-RU"/>
        </w:rPr>
        <w:t>3 этап - повторный анализ рисков для проверки достижения допустимости уровня рисков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Суть данного этапа заключается в том, что организация стремиться к достижению уровня риска, который она сможет считать допустимым, когда все возможные меры будут исчерпаны.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Последовательность этапов оценки рисков не является строгой и при необходимости может меняться.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Например, организация может сразу устранить идентифицированную опасность, не проводя анализ рисков. Весь процесс оценки рисков, а также эффективность методов управления требуют постоянного мониторинга, анализа и, при необходимости, корректировки.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Это может быть связано как с появлением новых идей по совершенствованию оценки рисков и мер управления, так и с актуализацией требований нормативных правовых актов, изменениями в организации работы, рабочих местах, оборудовании и т.д.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lastRenderedPageBreak/>
        <w:t>Все этапы оценки рисков и изменения должны быть зафиксированы документально. При этом следует использовать понятные и точные термины и единицы.</w:t>
      </w:r>
    </w:p>
    <w:p w:rsidR="0040176D" w:rsidRPr="0040176D" w:rsidRDefault="0040176D" w:rsidP="0040176D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40176D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​</w:t>
      </w:r>
    </w:p>
    <w:sectPr w:rsidR="0040176D" w:rsidRPr="00401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player-main-fon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ar(--content-fon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7EA7"/>
    <w:multiLevelType w:val="multilevel"/>
    <w:tmpl w:val="4AA0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C77BD1"/>
    <w:multiLevelType w:val="multilevel"/>
    <w:tmpl w:val="B0008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E80A0A"/>
    <w:multiLevelType w:val="multilevel"/>
    <w:tmpl w:val="9354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70186"/>
    <w:multiLevelType w:val="multilevel"/>
    <w:tmpl w:val="1B96A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876689"/>
    <w:multiLevelType w:val="multilevel"/>
    <w:tmpl w:val="BD9C8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B413C"/>
    <w:multiLevelType w:val="multilevel"/>
    <w:tmpl w:val="BAB42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465B3C"/>
    <w:multiLevelType w:val="multilevel"/>
    <w:tmpl w:val="CA943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35D6B"/>
    <w:multiLevelType w:val="multilevel"/>
    <w:tmpl w:val="421C9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8D3D2B"/>
    <w:multiLevelType w:val="multilevel"/>
    <w:tmpl w:val="C51A1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4C3BC3"/>
    <w:multiLevelType w:val="multilevel"/>
    <w:tmpl w:val="ABC65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46069A"/>
    <w:multiLevelType w:val="multilevel"/>
    <w:tmpl w:val="0A2C7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B9203B"/>
    <w:multiLevelType w:val="multilevel"/>
    <w:tmpl w:val="510E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5708A3"/>
    <w:multiLevelType w:val="multilevel"/>
    <w:tmpl w:val="0F68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F36CA5"/>
    <w:multiLevelType w:val="multilevel"/>
    <w:tmpl w:val="9906F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A61E97"/>
    <w:multiLevelType w:val="multilevel"/>
    <w:tmpl w:val="60B6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5C624A"/>
    <w:multiLevelType w:val="multilevel"/>
    <w:tmpl w:val="16AA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D107D4"/>
    <w:multiLevelType w:val="multilevel"/>
    <w:tmpl w:val="2520A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B553F2"/>
    <w:multiLevelType w:val="multilevel"/>
    <w:tmpl w:val="6B70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D57689"/>
    <w:multiLevelType w:val="multilevel"/>
    <w:tmpl w:val="80B87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6047AE"/>
    <w:multiLevelType w:val="multilevel"/>
    <w:tmpl w:val="40F0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7307BD"/>
    <w:multiLevelType w:val="multilevel"/>
    <w:tmpl w:val="369A3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5"/>
  </w:num>
  <w:num w:numId="8">
    <w:abstractNumId w:val="6"/>
  </w:num>
  <w:num w:numId="9">
    <w:abstractNumId w:val="0"/>
  </w:num>
  <w:num w:numId="10">
    <w:abstractNumId w:val="17"/>
  </w:num>
  <w:num w:numId="11">
    <w:abstractNumId w:val="7"/>
  </w:num>
  <w:num w:numId="12">
    <w:abstractNumId w:val="10"/>
  </w:num>
  <w:num w:numId="13">
    <w:abstractNumId w:val="12"/>
  </w:num>
  <w:num w:numId="14">
    <w:abstractNumId w:val="9"/>
  </w:num>
  <w:num w:numId="15">
    <w:abstractNumId w:val="18"/>
  </w:num>
  <w:num w:numId="16">
    <w:abstractNumId w:val="2"/>
  </w:num>
  <w:num w:numId="17">
    <w:abstractNumId w:val="3"/>
  </w:num>
  <w:num w:numId="18">
    <w:abstractNumId w:val="16"/>
  </w:num>
  <w:num w:numId="19">
    <w:abstractNumId w:val="1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6D"/>
    <w:rsid w:val="00002A1E"/>
    <w:rsid w:val="001A2C00"/>
    <w:rsid w:val="001A50EA"/>
    <w:rsid w:val="0040176D"/>
    <w:rsid w:val="004B73B4"/>
    <w:rsid w:val="005148C6"/>
    <w:rsid w:val="00555FF0"/>
    <w:rsid w:val="005840A7"/>
    <w:rsid w:val="00591235"/>
    <w:rsid w:val="00605399"/>
    <w:rsid w:val="00CE52BC"/>
    <w:rsid w:val="00D1391E"/>
    <w:rsid w:val="00D4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017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017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title">
    <w:name w:val="text-title"/>
    <w:basedOn w:val="a"/>
    <w:rsid w:val="0040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40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40176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017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title">
    <w:name w:val="text-title"/>
    <w:basedOn w:val="a"/>
    <w:rsid w:val="0040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401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4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3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1126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94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0814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656052">
              <w:blockQuote w:val="1"/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59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5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18031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117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10</Pages>
  <Words>2592</Words>
  <Characters>14775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8</cp:revision>
  <cp:lastPrinted>2022-09-19T07:41:00Z</cp:lastPrinted>
  <dcterms:created xsi:type="dcterms:W3CDTF">2022-09-14T13:10:00Z</dcterms:created>
  <dcterms:modified xsi:type="dcterms:W3CDTF">2022-09-19T07:41:00Z</dcterms:modified>
</cp:coreProperties>
</file>